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b w:val="1"/>
          <w:bCs w:val="1"/>
          <w:sz w:val="38"/>
          <w:szCs w:val="38"/>
          <w:lang w:val="en-US"/>
        </w:rPr>
      </w:pPr>
      <w:r>
        <w:rPr>
          <w:rFonts w:ascii="Trebuchet MS" w:hAnsi="Trebuchet MS"/>
          <w:b w:val="1"/>
          <w:bCs w:val="1"/>
          <w:sz w:val="38"/>
          <w:szCs w:val="38"/>
          <w:rtl w:val="0"/>
          <w:lang w:val="en-US"/>
        </w:rPr>
        <w:t>Supplement</w:t>
      </w:r>
      <w:r>
        <w:rPr>
          <w:rFonts w:ascii="Trebuchet MS" w:hAnsi="Trebuchet MS"/>
          <w:b w:val="1"/>
          <w:bCs w:val="1"/>
          <w:sz w:val="38"/>
          <w:szCs w:val="38"/>
          <w:rtl w:val="0"/>
          <w:lang w:val="nl-NL"/>
        </w:rPr>
        <w:t>ary materials</w:t>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b w:val="1"/>
          <w:bCs w:val="1"/>
          <w:sz w:val="24"/>
          <w:szCs w:val="24"/>
          <w:u w:color="000000"/>
          <w:lang w:val="en-US"/>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sz w:val="24"/>
          <w:szCs w:val="24"/>
          <w:u w:color="000000"/>
          <w:lang w:val="en-US"/>
        </w:rPr>
      </w:pPr>
      <w:r>
        <w:rPr>
          <w:rFonts w:ascii="Trebuchet MS" w:hAnsi="Trebuchet MS"/>
          <w:b w:val="1"/>
          <w:bCs w:val="1"/>
          <w:rtl w:val="0"/>
          <w:lang w:val="nl-NL"/>
        </w:rPr>
        <w:t xml:space="preserve">1. </w:t>
      </w:r>
      <w:r>
        <w:rPr>
          <w:rFonts w:ascii="Trebuchet MS" w:hAnsi="Trebuchet MS"/>
          <w:b w:val="1"/>
          <w:bCs w:val="1"/>
          <w:sz w:val="24"/>
          <w:szCs w:val="24"/>
          <w:rtl w:val="0"/>
          <w:lang w:val="en-US"/>
        </w:rPr>
        <w:t>E</w:t>
      </w:r>
      <w:r>
        <w:rPr>
          <w:rFonts w:ascii="Trebuchet MS" w:hAnsi="Trebuchet MS"/>
          <w:b w:val="1"/>
          <w:bCs w:val="1"/>
          <w:sz w:val="24"/>
          <w:szCs w:val="24"/>
          <w:u w:color="000000"/>
          <w:rtl w:val="0"/>
          <w:lang w:val="en-US"/>
        </w:rPr>
        <w:t>xpanded Methods</w:t>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sz w:val="24"/>
          <w:szCs w:val="24"/>
          <w:u w:color="000000"/>
          <w:lang w:val="en-US"/>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sz w:val="24"/>
          <w:szCs w:val="24"/>
          <w:u w:color="000000"/>
          <w:lang w:val="en-US"/>
        </w:rPr>
      </w:pPr>
      <w:r>
        <w:rPr>
          <w:rFonts w:ascii="Trebuchet MS" w:hAnsi="Trebuchet MS"/>
          <w:sz w:val="24"/>
          <w:szCs w:val="24"/>
          <w:u w:color="000000"/>
          <w:rtl w:val="0"/>
          <w:lang w:val="en-US"/>
        </w:rPr>
        <w:t>We adhere to the TRIPOD statements of transparent reporting of a multivariable prediction model for individual prognosis and diagnosis [11].</w:t>
      </w:r>
    </w:p>
    <w:p>
      <w:pPr>
        <w:pStyle w:val="Normal.0"/>
        <w:keepNext w:val="1"/>
        <w:keepLines w:val="1"/>
        <w:tabs>
          <w:tab w:val="left" w:pos="206"/>
        </w:tabs>
        <w:suppressAutoHyphens w:val="1"/>
        <w:spacing w:before="100" w:after="100" w:line="360" w:lineRule="auto"/>
        <w:ind w:right="418"/>
        <w:outlineLvl w:val="2"/>
        <w:rPr>
          <w:rFonts w:ascii="Trebuchet MS" w:cs="Trebuchet MS" w:hAnsi="Trebuchet MS" w:eastAsia="Trebuchet MS"/>
          <w:i w:val="1"/>
          <w:iCs w:val="1"/>
          <w:caps w:val="0"/>
          <w:smallCaps w:val="0"/>
          <w:strike w:val="0"/>
          <w:dstrike w:val="0"/>
          <w:outline w:val="0"/>
          <w:color w:val="000000"/>
          <w:spacing w:val="0"/>
          <w:kern w:val="0"/>
          <w:position w:val="0"/>
          <w:u w:val="none" w:color="000000"/>
          <w:vertAlign w:val="baseline"/>
        </w:rPr>
      </w:pPr>
    </w:p>
    <w:p>
      <w:pPr>
        <w:pStyle w:val="Normal.0"/>
        <w:keepNext w:val="1"/>
        <w:keepLines w:val="1"/>
        <w:tabs>
          <w:tab w:val="left" w:pos="206"/>
        </w:tabs>
        <w:suppressAutoHyphens w:val="1"/>
        <w:spacing w:before="100" w:after="100" w:line="360" w:lineRule="auto"/>
        <w:ind w:right="418"/>
        <w:outlineLvl w:val="2"/>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r>
        <w:rPr>
          <w:rFonts w:ascii="Trebuchet MS" w:hAnsi="Trebuchet MS"/>
          <w:i w:val="1"/>
          <w:iCs w:val="1"/>
          <w:caps w:val="0"/>
          <w:smallCaps w:val="0"/>
          <w:strike w:val="0"/>
          <w:dstrike w:val="0"/>
          <w:outline w:val="0"/>
          <w:color w:val="000000"/>
          <w:spacing w:val="0"/>
          <w:kern w:val="0"/>
          <w:position w:val="0"/>
          <w:u w:val="none" w:color="000000"/>
          <w:vertAlign w:val="baseline"/>
          <w:rtl w:val="0"/>
          <w:lang w:val="en-US"/>
        </w:rPr>
        <w:t>Source of the data</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The methods and patients have been described in  previous publications [4][7]. Briefly, the VIP1 is a prospective European study performed in multiple ICUs. Each participating ICU included up to 20 consecutive patients during a three-month period. Individual ICUs started the data collection between October 2016 and February 2017. A website was set up to facilitate information about the study and to allow for data entry using an electronic CRF. The study was registered on ClinicalTrials.gov (ID: NTC03134807).</w:t>
      </w: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Participants</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All c</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onsecutive patients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who were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aged 80 years or over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and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admitted to the 311 participating ICUs of 24 countries were eligible.</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For this analyses we have excluded patients that were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admitted after elective surgery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because they have a better prognosis [4]</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 </w:t>
      </w: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i w:val="1"/>
          <w:iCs w:val="1"/>
          <w:caps w:val="0"/>
          <w:smallCaps w:val="0"/>
          <w:strike w:val="0"/>
          <w:dstrike w:val="0"/>
          <w:outline w:val="0"/>
          <w:color w:val="000000"/>
          <w:spacing w:val="0"/>
          <w:kern w:val="0"/>
          <w:position w:val="0"/>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Outcome</w:t>
      </w:r>
    </w:p>
    <w:p>
      <w:pPr>
        <w:pStyle w:val="Normal.0"/>
        <w:suppressAutoHyphens w:val="1"/>
        <w:spacing w:line="360" w:lineRule="auto"/>
        <w:ind w:right="418"/>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Outcome in ICU (dead or alive) and mortality at day 30 after ICU admission were collected for all included patients. The 30-days after ICU admission outcome was assessed by the treating physicians and was not blinded.</w:t>
      </w: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Variables</w:t>
      </w:r>
    </w:p>
    <w:p>
      <w:pPr>
        <w:pStyle w:val="Normal.0"/>
        <w:suppressAutoHyphens w:val="1"/>
        <w:spacing w:line="360" w:lineRule="auto"/>
        <w:ind w:right="418"/>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The following variables were available during the study: age, gender, reason for ICU admission among a pre-defined list of 11 admission groups,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the abbreviated </w:t>
      </w:r>
      <w:r>
        <w:rPr>
          <w:rFonts w:ascii="Trebuchet MS" w:hAnsi="Trebuchet MS"/>
          <w:caps w:val="0"/>
          <w:smallCaps w:val="0"/>
          <w:strike w:val="0"/>
          <w:dstrike w:val="0"/>
          <w:outline w:val="0"/>
          <w:color w:val="000000"/>
          <w:spacing w:val="0"/>
          <w:kern w:val="0"/>
          <w:position w:val="0"/>
          <w:u w:val="none" w:color="000000"/>
          <w:vertAlign w:val="baseline"/>
          <w:rtl w:val="0"/>
          <w:lang w:val="en-US"/>
        </w:rPr>
        <w:t>clinical frailty scale</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 (9 items) was assessed by physicians by asking relatives to give their opinion</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[1</w:t>
      </w:r>
      <w:r>
        <w:rPr>
          <w:rFonts w:ascii="Trebuchet MS" w:hAnsi="Trebuchet MS"/>
          <w:caps w:val="0"/>
          <w:smallCaps w:val="0"/>
          <w:strike w:val="0"/>
          <w:dstrike w:val="0"/>
          <w:outline w:val="0"/>
          <w:color w:val="000000"/>
          <w:spacing w:val="0"/>
          <w:kern w:val="0"/>
          <w:position w:val="0"/>
          <w:u w:val="none" w:color="000000"/>
          <w:vertAlign w:val="baseline"/>
          <w:rtl w:val="0"/>
          <w:lang w:val="nl-NL"/>
        </w:rPr>
        <w:t>2</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the worst Sequential Organ Failure Assessment (SOFA) score </w:t>
      </w:r>
      <w:r>
        <w:rPr>
          <w:rFonts w:ascii="Trebuchet MS" w:hAnsi="Trebuchet MS"/>
          <w:caps w:val="0"/>
          <w:smallCaps w:val="0"/>
          <w:strike w:val="0"/>
          <w:dstrike w:val="0"/>
          <w:outline w:val="0"/>
          <w:color w:val="000000"/>
          <w:spacing w:val="0"/>
          <w:kern w:val="0"/>
          <w:position w:val="0"/>
          <w:u w:val="none" w:color="000000"/>
          <w:vertAlign w:val="baseline"/>
          <w:rtl w:val="0"/>
          <w:lang w:val="nl-NL"/>
        </w:rPr>
        <w:t>of</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the entire </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ICU stay, any period </w:t>
      </w:r>
      <w:r>
        <w:rPr>
          <w:rFonts w:ascii="Trebuchet MS" w:hAnsi="Trebuchet MS"/>
          <w:caps w:val="0"/>
          <w:smallCaps w:val="0"/>
          <w:strike w:val="0"/>
          <w:dstrike w:val="0"/>
          <w:outline w:val="0"/>
          <w:color w:val="000000"/>
          <w:spacing w:val="0"/>
          <w:kern w:val="0"/>
          <w:position w:val="0"/>
          <w:u w:val="none" w:color="000000"/>
          <w:vertAlign w:val="baseline"/>
          <w:rtl w:val="0"/>
          <w:lang w:val="nl-NL"/>
        </w:rPr>
        <w:t>of</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non-invasive mechanical ventilation (NIV)</w:t>
      </w:r>
      <w:r>
        <w:rPr>
          <w:caps w:val="0"/>
          <w:smallCaps w:val="0"/>
          <w:strike w:val="0"/>
          <w:dstrike w:val="0"/>
          <w:outline w:val="0"/>
          <w:color w:val="000000"/>
          <w:spacing w:val="0"/>
          <w:kern w:val="0"/>
          <w:position w:val="0"/>
          <w:u w:val="none" w:color="000000"/>
          <w:vertAlign w:val="baseline"/>
          <w:rtl w:val="0"/>
          <w:lang w:val="en-US"/>
        </w:rPr>
        <w:t xml:space="preserve"> </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during the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entire </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ICU stay, any period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 of </w:t>
      </w:r>
      <w:r>
        <w:rPr>
          <w:rFonts w:ascii="Trebuchet MS" w:hAnsi="Trebuchet MS"/>
          <w:caps w:val="0"/>
          <w:smallCaps w:val="0"/>
          <w:strike w:val="0"/>
          <w:dstrike w:val="0"/>
          <w:outline w:val="0"/>
          <w:color w:val="000000"/>
          <w:spacing w:val="0"/>
          <w:kern w:val="0"/>
          <w:position w:val="0"/>
          <w:u w:val="none" w:color="000000"/>
          <w:vertAlign w:val="baseline"/>
          <w:rtl w:val="0"/>
          <w:lang w:val="en-US"/>
        </w:rPr>
        <w:t>invasive mechanical ventilation (requiring endotracheal intubation, IMV)</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 </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during the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entire </w:t>
      </w: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ICU stay, use of vasoactive drugs during the </w:t>
      </w:r>
      <w:r>
        <w:rPr>
          <w:rFonts w:ascii="Trebuchet MS" w:hAnsi="Trebuchet MS"/>
          <w:caps w:val="0"/>
          <w:smallCaps w:val="0"/>
          <w:strike w:val="0"/>
          <w:dstrike w:val="0"/>
          <w:outline w:val="0"/>
          <w:color w:val="000000"/>
          <w:spacing w:val="0"/>
          <w:kern w:val="0"/>
          <w:position w:val="0"/>
          <w:u w:val="none" w:color="000000"/>
          <w:vertAlign w:val="baseline"/>
          <w:rtl w:val="0"/>
          <w:lang w:val="nl-NL"/>
        </w:rPr>
        <w:t xml:space="preserve">entire </w:t>
      </w:r>
      <w:r>
        <w:rPr>
          <w:rFonts w:ascii="Trebuchet MS" w:hAnsi="Trebuchet MS"/>
          <w:caps w:val="0"/>
          <w:smallCaps w:val="0"/>
          <w:strike w:val="0"/>
          <w:dstrike w:val="0"/>
          <w:outline w:val="0"/>
          <w:color w:val="000000"/>
          <w:spacing w:val="0"/>
          <w:kern w:val="0"/>
          <w:position w:val="0"/>
          <w:u w:val="none" w:color="000000"/>
          <w:vertAlign w:val="baseline"/>
          <w:rtl w:val="0"/>
          <w:lang w:val="en-US"/>
        </w:rPr>
        <w:t>ICU stay, renal replacement therapy (RRT), and length of stay (LOS) prior to ICU admission. The 11 reasons for ICU admission were Respiratory Failure, Circulatory failure, Respiratory and circulatory failure, Sepsis, Multi-trauma without head injury, Multi-trauma with head injury, Isolated Head Injury, intoxication, non-trauma CNS causes, Emergency surgery, and Other.</w:t>
      </w:r>
      <w:r>
        <w:rPr>
          <w:rFonts w:ascii="Trebuchet MS" w:hAnsi="Trebuchet MS" w:hint="default"/>
          <w:caps w:val="0"/>
          <w:smallCaps w:val="0"/>
          <w:strike w:val="0"/>
          <w:dstrike w:val="0"/>
          <w:outline w:val="0"/>
          <w:color w:val="000000"/>
          <w:spacing w:val="0"/>
          <w:kern w:val="0"/>
          <w:position w:val="0"/>
          <w:u w:val="none" w:color="000000"/>
          <w:vertAlign w:val="baseline"/>
          <w:rtl w:val="0"/>
          <w:lang w:val="en-US"/>
        </w:rPr>
        <w:t>     </w:t>
      </w:r>
    </w:p>
    <w:p>
      <w:pPr>
        <w:pStyle w:val="Normal.0"/>
        <w:suppressAutoHyphens w:val="1"/>
        <w:spacing w:line="360" w:lineRule="auto"/>
        <w:ind w:right="418"/>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w:t>
      </w:r>
    </w:p>
    <w:p>
      <w:pPr>
        <w:pStyle w:val="Normal.0"/>
        <w:suppressAutoHyphens w:val="1"/>
        <w:spacing w:line="360" w:lineRule="auto"/>
        <w:ind w:right="418"/>
        <w:rPr>
          <w:rFonts w:ascii="Trebuchet MS" w:cs="Trebuchet MS" w:hAnsi="Trebuchet MS" w:eastAsia="Trebuchet MS"/>
          <w:i w:val="1"/>
          <w:iCs w:val="1"/>
          <w:caps w:val="0"/>
          <w:smallCaps w:val="0"/>
          <w:strike w:val="0"/>
          <w:dstrike w:val="0"/>
          <w:outline w:val="0"/>
          <w:color w:val="000000"/>
          <w:spacing w:val="0"/>
          <w:kern w:val="0"/>
          <w:position w:val="0"/>
          <w:u w:val="none" w:color="000000"/>
          <w:vertAlign w:val="baseline"/>
        </w:rPr>
      </w:pPr>
      <w:r>
        <w:rPr>
          <w:rFonts w:ascii="Trebuchet MS" w:hAnsi="Trebuchet MS"/>
          <w:i w:val="1"/>
          <w:iCs w:val="1"/>
          <w:caps w:val="0"/>
          <w:smallCaps w:val="0"/>
          <w:strike w:val="0"/>
          <w:dstrike w:val="0"/>
          <w:outline w:val="0"/>
          <w:color w:val="000000"/>
          <w:spacing w:val="0"/>
          <w:kern w:val="0"/>
          <w:position w:val="0"/>
          <w:u w:val="none" w:color="000000"/>
          <w:vertAlign w:val="baseline"/>
          <w:rtl w:val="0"/>
          <w:lang w:val="en-US"/>
        </w:rPr>
        <w:t>Sample size</w:t>
      </w:r>
    </w:p>
    <w:p>
      <w:pPr>
        <w:pStyle w:val="Normal.0"/>
        <w:suppressAutoHyphens w:val="1"/>
        <w:spacing w:line="360" w:lineRule="auto"/>
        <w:ind w:right="418"/>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It has been suggested, as a general rule, that the number of events per included variables should be at least 10. During the model development, we initially included 12 variables of which the covariate reasons for ICU admission consist of 11 categories. In total we included 21 different degrees of freedom necessitating a sample size of at least 210 deaths. </w:t>
      </w:r>
    </w:p>
    <w:p>
      <w:pPr>
        <w:pStyle w:val="Normal.0"/>
        <w:suppressAutoHyphens w:val="1"/>
        <w:spacing w:before="100" w:after="100" w:line="360" w:lineRule="auto"/>
        <w:ind w:right="418"/>
        <w:rPr>
          <w:rFonts w:ascii="Trebuchet MS" w:cs="Trebuchet MS" w:hAnsi="Trebuchet MS" w:eastAsia="Trebuchet MS"/>
        </w:rPr>
      </w:pPr>
    </w:p>
    <w:p>
      <w:pPr>
        <w:pStyle w:val="Normal.0"/>
        <w:suppressAutoHyphens w:val="1"/>
        <w:spacing w:before="100" w:after="100" w:line="360" w:lineRule="auto"/>
        <w:ind w:right="418"/>
        <w:rPr>
          <w:rFonts w:ascii="Calibri" w:cs="Calibri" w:hAnsi="Calibri" w:eastAsia="Calibri"/>
          <w:i w:val="1"/>
          <w:iCs w:val="1"/>
        </w:rPr>
      </w:pPr>
      <w:r>
        <w:rPr>
          <w:rFonts w:ascii="Calibri" w:cs="Calibri" w:hAnsi="Calibri" w:eastAsia="Calibri"/>
          <w:i w:val="1"/>
          <w:iCs w:val="1"/>
          <w:rtl w:val="0"/>
          <w:lang w:val="en-US"/>
        </w:rPr>
        <w:t>Missing data</w:t>
      </w:r>
    </w:p>
    <w:p>
      <w:pPr>
        <w:pStyle w:val="Normal.0"/>
        <w:suppressAutoHyphens w:val="1"/>
        <w:spacing w:before="100" w:after="100" w:line="360" w:lineRule="auto"/>
        <w:ind w:right="418"/>
        <w:rPr>
          <w:rFonts w:ascii="Calibri" w:cs="Calibri" w:hAnsi="Calibri" w:eastAsia="Calibri"/>
        </w:rPr>
      </w:pPr>
      <w:r>
        <w:rPr>
          <w:rFonts w:ascii="Calibri" w:cs="Calibri" w:hAnsi="Calibri" w:eastAsia="Calibri"/>
          <w:rtl w:val="0"/>
          <w:lang w:val="en-US"/>
        </w:rPr>
        <w:t xml:space="preserve">Patients with missing data on variables included in the multivariable logistic regression model were excluded from further analyses. </w:t>
      </w:r>
    </w:p>
    <w:p>
      <w:pPr>
        <w:pStyle w:val="Normal.0"/>
        <w:suppressAutoHyphens w:val="1"/>
        <w:spacing w:before="100" w:after="100" w:line="360" w:lineRule="auto"/>
        <w:ind w:right="418"/>
        <w:rPr>
          <w:rFonts w:ascii="Trebuchet MS" w:cs="Trebuchet MS" w:hAnsi="Trebuchet MS" w:eastAsia="Trebuchet MS"/>
        </w:rPr>
      </w:pPr>
    </w:p>
    <w:p>
      <w:pPr>
        <w:pStyle w:val="Normal.0"/>
        <w:suppressAutoHyphens w:val="1"/>
        <w:spacing w:line="360" w:lineRule="auto"/>
        <w:rPr>
          <w:rFonts w:ascii="Calibri" w:cs="Calibri" w:hAnsi="Calibri" w:eastAsia="Calibri"/>
          <w:i w:val="1"/>
          <w:iCs w:val="1"/>
          <w:caps w:val="0"/>
          <w:smallCaps w:val="0"/>
          <w:strike w:val="0"/>
          <w:dstrike w:val="0"/>
          <w:outline w:val="0"/>
          <w:color w:val="000000"/>
          <w:spacing w:val="0"/>
          <w:kern w:val="0"/>
          <w:position w:val="0"/>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Multivariable logistic regression model</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A model was developed to predict the mortality of elderly patients 30 days after ICU admission using all variables available in the dataset. To correct for similarities among patients within the same country, and within the same ICU, we included country and ICU as random factors into the model.</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The variables were included in a multivariable logistic regression model. These were tested for multicollinearity to assess which variables could be included in model development. The multicollinearity was assessed using the variance inflation factor (VIF), in which a VIF of 4 or higher was defined as multicollinearity present. Furthermore, interaction between age and frailty score was tested. An ANOVA test was used to determine whether the continuous variables should be included as restricted cubic spline, by comparing the Akaike Information Criterions (AIC) of a model with and a model without restricted cubic spline for the continu</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ou</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s variables. To select the best variables for inclusion in the multivariable logistic regression model, the Least Absolute Selection and Shrinkage Operator (LASSO) procedure was applied in a 10-fold cross-validation.</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During this methods the regression coefficients of the included variables are shrinked as much as possible without enlarging the prediction error. The variables of which the regression coefficient could be shrinked to zero are not selected in the final model.</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For a more elaborate explanation on the LASSO methodology we refer to a publication by Tibshirani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Tibshirani R.</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Regression Shrinkage and Selection via the Lasso.</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J. R. Statist. Soc. B. 1996;58(1):267-288.</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The performance of the final multivariable regression model was assessed for the total ICU population and for several diagnostic subgroups by measures of discrimination, accuracy, and calibration. The discrimination was expressed as the area under the receiver operating characteristic curve (AUC). The accuracy of the model was assessed by the Brier score. Estimates of the AUC, Brier score and the associated 95% confidence intervals of the models were obtained by bootstrapping with 500 samples</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[1</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3</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The calibration is analyzed using the GiViTi calibration belt [19]</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i w:val="1"/>
          <w:iCs w:val="1"/>
          <w:caps w:val="0"/>
          <w:smallCaps w:val="0"/>
          <w:strike w:val="0"/>
          <w:dstrike w:val="0"/>
          <w:outline w:val="0"/>
          <w:color w:val="000000"/>
          <w:spacing w:val="0"/>
          <w:kern w:val="0"/>
          <w:position w:val="0"/>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Simple bedside model based on a point system</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The simple bedside model is based on the variables included in the final multivariable regression model. A practical point system founded on the beta of each predictor was developed using the following 6 steps according to the Framingham method.</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 xml:space="preserve"> This has been described in more detail in a previous publication by Brandenburg et al. [20].</w:t>
      </w: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Continuous variables were categorised and a reference value for each category was set. This reference value was usually the median of the specific category, for instance the reference value for the age category 83-85 year was 84 years.</w:t>
      </w: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For each predictor a reference category, receiving zero points in the point system, was set. For age, the base category was &lt;81 year with a reference value of 80 years. For all binary variables, the base category was set at 0, indicating that the specific diagnosis was absent. </w:t>
      </w: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 For all non-based categories, the differences between the reference value of the specific category and the reference value of the base category was calculated. For the age category 83-85 years with a reference value of 84, this difference was 4 years. For all binary variables this difference was 1. </w:t>
      </w: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The risk factor of each category was set by multiplying the calculated differences with the beta of the specific variables. In the final multivariate regression model the beta of the predictor age was 0.05, resulting in a risk factor of 0.2 for the age category 83-85 years.</w:t>
      </w: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 xml:space="preserve">The constant of the point system was defined by multiplying the beta of the predictor age by 5 and was 0.25. </w:t>
      </w:r>
    </w:p>
    <w:p>
      <w:pPr>
        <w:pStyle w:val="Normal.0"/>
        <w:numPr>
          <w:ilvl w:val="2"/>
          <w:numId w:val="2"/>
        </w:numPr>
        <w:suppressAutoHyphens w:val="1"/>
        <w:bidi w:val="0"/>
        <w:spacing w:line="360" w:lineRule="auto"/>
        <w:ind w:right="0"/>
        <w:jc w:val="left"/>
        <w:rPr>
          <w:rFonts w:ascii="Trebuchet MS" w:hAnsi="Trebuchet MS"/>
          <w:rtl w:val="0"/>
          <w:lang w:val="en-US"/>
        </w:rPr>
      </w:pPr>
      <w:r>
        <w:rPr>
          <w:rFonts w:ascii="Trebuchet MS" w:hAnsi="Trebuchet MS"/>
          <w:caps w:val="0"/>
          <w:smallCaps w:val="0"/>
          <w:strike w:val="0"/>
          <w:dstrike w:val="0"/>
          <w:outline w:val="0"/>
          <w:color w:val="000000"/>
          <w:spacing w:val="0"/>
          <w:kern w:val="0"/>
          <w:position w:val="0"/>
          <w:u w:val="none" w:color="000000"/>
          <w:vertAlign w:val="baseline"/>
          <w:rtl w:val="0"/>
          <w:lang w:val="en-US"/>
        </w:rPr>
        <w:t>The points, rounded to the nearest integer, assigned to each category were calculated by dividing the risk factor by the constant. For the age category 83-85 years this results in 1 point</w:t>
      </w:r>
      <w:r>
        <w:rPr>
          <w:rFonts w:ascii="Trebuchet MS" w:hAnsi="Trebuchet MS"/>
          <w:caps w:val="0"/>
          <w:smallCaps w:val="0"/>
          <w:strike w:val="0"/>
          <w:dstrike w:val="0"/>
          <w:outline w:val="0"/>
          <w:color w:val="000000"/>
          <w:spacing w:val="0"/>
          <w:kern w:val="0"/>
          <w:position w:val="0"/>
          <w:u w:val="none" w:color="000000"/>
          <w:vertAlign w:val="baseline"/>
          <w:rtl w:val="0"/>
          <w:lang w:val="nl-NL"/>
        </w:rPr>
        <w:t>.</w:t>
      </w:r>
    </w:p>
    <w:p>
      <w:pPr>
        <w:pStyle w:val="Normal.0"/>
        <w:suppressAutoHyphens w:val="1"/>
        <w:spacing w:line="360" w:lineRule="auto"/>
        <w:ind w:left="820" w:firstLine="0"/>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Pr>
      </w:pP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The total of the assigned number of points to each patient is defined as the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cumulative prognostic</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 score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CPS</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 of the patient. To determine the performance of the bedside model, the sensitivity and specificity of several cut-off points based on the </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nl-NL"/>
        </w:rPr>
        <w:t>CPS</w:t>
      </w: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 xml:space="preserve"> were assessed.</w:t>
      </w:r>
    </w:p>
    <w:p>
      <w:pPr>
        <w:pStyle w:val="Normal.0"/>
        <w:suppressAutoHyphens w:val="1"/>
        <w:spacing w:line="360" w:lineRule="auto"/>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caps w:val="0"/>
          <w:smallCaps w:val="0"/>
          <w:strike w:val="0"/>
          <w:dstrike w:val="0"/>
          <w:outline w:val="0"/>
          <w:color w:val="000000"/>
          <w:spacing w:val="0"/>
          <w:kern w:val="0"/>
          <w:position w:val="0"/>
          <w:u w:val="none" w:color="000000"/>
          <w:vertAlign w:val="baseline"/>
        </w:rPr>
      </w:pPr>
      <w:r>
        <w:rPr>
          <w:rFonts w:ascii="Calibri" w:cs="Calibri" w:hAnsi="Calibri" w:eastAsia="Calibri"/>
          <w:caps w:val="0"/>
          <w:smallCaps w:val="0"/>
          <w:strike w:val="0"/>
          <w:dstrike w:val="0"/>
          <w:outline w:val="0"/>
          <w:color w:val="000000"/>
          <w:spacing w:val="0"/>
          <w:kern w:val="0"/>
          <w:position w:val="0"/>
          <w:u w:val="none" w:color="000000"/>
          <w:vertAlign w:val="baseline"/>
          <w:rtl w:val="0"/>
          <w:lang w:val="en-US"/>
        </w:rPr>
        <w:t>The statistical analyses were performed using IBM SPSS statistics 21 and the statistical environment R version 3.3.3.</w:t>
      </w:r>
    </w:p>
    <w:p>
      <w:pPr>
        <w:pStyle w:val="Normal.0"/>
        <w:suppressAutoHyphens w:val="1"/>
        <w:spacing w:line="360" w:lineRule="auto"/>
        <w:ind w:right="418"/>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tabs>
          <w:tab w:val="left" w:pos="6946"/>
        </w:tabs>
        <w:suppressAutoHyphens w:val="1"/>
        <w:spacing w:line="360" w:lineRule="auto"/>
        <w:jc w:val="both"/>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Normal.0"/>
        <w:suppressAutoHyphens w:val="1"/>
        <w:spacing w:line="360" w:lineRule="auto"/>
        <w:rPr>
          <w:rFonts w:ascii="Calibri" w:cs="Calibri" w:hAnsi="Calibri" w:eastAsia="Calibri"/>
          <w:i w:val="1"/>
          <w:iCs w:val="1"/>
          <w:caps w:val="0"/>
          <w:smallCaps w:val="0"/>
          <w:strike w:val="0"/>
          <w:dstrike w:val="0"/>
          <w:outline w:val="0"/>
          <w:color w:val="000000"/>
          <w:spacing w:val="0"/>
          <w:kern w:val="0"/>
          <w:position w:val="0"/>
          <w:u w:val="none" w:color="000000"/>
          <w:vertAlign w:val="baseline"/>
        </w:rPr>
      </w:pPr>
      <w:r>
        <w:rPr>
          <w:rFonts w:ascii="Calibri" w:cs="Calibri" w:hAnsi="Calibri" w:eastAsia="Calibri"/>
          <w:i w:val="1"/>
          <w:iCs w:val="1"/>
          <w:caps w:val="0"/>
          <w:smallCaps w:val="0"/>
          <w:strike w:val="0"/>
          <w:dstrike w:val="0"/>
          <w:outline w:val="0"/>
          <w:color w:val="000000"/>
          <w:spacing w:val="0"/>
          <w:kern w:val="0"/>
          <w:position w:val="0"/>
          <w:u w:val="none" w:color="000000"/>
          <w:vertAlign w:val="baseline"/>
          <w:rtl w:val="0"/>
          <w:lang w:val="en-US"/>
        </w:rPr>
        <w:t>Ethics</w:t>
      </w:r>
    </w:p>
    <w:p>
      <w:pPr>
        <w:pStyle w:val="Normal.0"/>
        <w:keepNext w:val="1"/>
        <w:keepLines w:val="1"/>
        <w:tabs>
          <w:tab w:val="left" w:pos="206"/>
        </w:tabs>
        <w:suppressAutoHyphens w:val="1"/>
        <w:spacing w:before="100" w:after="100" w:line="360" w:lineRule="auto"/>
        <w:ind w:right="418"/>
        <w:outlineLvl w:val="2"/>
      </w:pPr>
      <w:r>
        <w:rPr>
          <w:rFonts w:ascii="Trebuchet MS" w:hAnsi="Trebuchet MS"/>
          <w:caps w:val="0"/>
          <w:smallCaps w:val="0"/>
          <w:strike w:val="0"/>
          <w:dstrike w:val="0"/>
          <w:outline w:val="0"/>
          <w:color w:val="000000"/>
          <w:spacing w:val="0"/>
          <w:kern w:val="0"/>
          <w:position w:val="0"/>
          <w:u w:val="none" w:color="000000"/>
          <w:vertAlign w:val="baseline"/>
          <w:rtl w:val="0"/>
          <w:lang w:val="en-US"/>
        </w:rPr>
        <w:t>An institutional research ethical board approval was obtained from each country and/or study site. No specific funding was received, but the study was endorsed by ESICM.</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u w:val="none" w:color="000000"/>
          <w:vertAlign w:val="baseline"/>
        </w:rPr>
        <w:br w:type="page"/>
      </w:r>
    </w:p>
    <w:p>
      <w:pPr>
        <w:pStyle w:val="Normal.0"/>
        <w:keepNext w:val="1"/>
        <w:keepLines w:val="1"/>
        <w:tabs>
          <w:tab w:val="left" w:pos="206"/>
        </w:tabs>
        <w:suppressAutoHyphens w:val="1"/>
        <w:spacing w:before="100" w:after="100" w:line="360" w:lineRule="auto"/>
        <w:ind w:right="418"/>
        <w:outlineLvl w:val="2"/>
        <w:rPr>
          <w:rFonts w:ascii="Trebuchet MS" w:cs="Trebuchet MS" w:hAnsi="Trebuchet MS" w:eastAsia="Trebuchet MS"/>
          <w:caps w:val="0"/>
          <w:smallCaps w:val="0"/>
          <w:strike w:val="0"/>
          <w:dstrike w:val="0"/>
          <w:outline w:val="0"/>
          <w:color w:val="000000"/>
          <w:spacing w:val="0"/>
          <w:kern w:val="0"/>
          <w:position w:val="0"/>
          <w:u w:val="none" w:color="000000"/>
          <w:vertAlign w:val="baseline"/>
        </w:rPr>
      </w:pPr>
    </w:p>
    <w:p>
      <w:pPr>
        <w:pStyle w:val="Standaard"/>
        <w:suppressAutoHyphens w:val="1"/>
        <w:bidi w:val="0"/>
        <w:spacing w:line="360" w:lineRule="auto"/>
        <w:ind w:left="0" w:right="418"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nl-NL"/>
        </w:rPr>
        <w:t xml:space="preserve">2. </w:t>
      </w:r>
      <w:r>
        <w:rPr>
          <w:rFonts w:ascii="Calibri" w:cs="Calibri" w:hAnsi="Calibri" w:eastAsia="Calibri"/>
          <w:b w:val="1"/>
          <w:bCs w:val="1"/>
          <w:sz w:val="24"/>
          <w:szCs w:val="24"/>
          <w:u w:color="000000"/>
          <w:rtl w:val="0"/>
          <w:lang w:val="nl-NL"/>
        </w:rPr>
        <w:t>P</w:t>
      </w:r>
      <w:r>
        <w:rPr>
          <w:rFonts w:ascii="Calibri" w:cs="Calibri" w:hAnsi="Calibri" w:eastAsia="Calibri"/>
          <w:b w:val="1"/>
          <w:bCs w:val="1"/>
          <w:sz w:val="24"/>
          <w:szCs w:val="24"/>
          <w:u w:color="000000"/>
          <w:rtl w:val="0"/>
          <w:lang w:val="en-US"/>
        </w:rPr>
        <w:t>erformance of Multivariate logistic regression model</w:t>
      </w:r>
    </w:p>
    <w:p>
      <w:pPr>
        <w:pStyle w:val="Standaard"/>
        <w:suppressAutoHyphens w:val="1"/>
        <w:bidi w:val="0"/>
        <w:spacing w:line="360" w:lineRule="auto"/>
        <w:ind w:left="0" w:right="418" w:firstLine="0"/>
        <w:jc w:val="left"/>
        <w:rPr>
          <w:rFonts w:ascii="Calibri" w:cs="Calibri" w:hAnsi="Calibri" w:eastAsia="Calibri"/>
          <w:sz w:val="24"/>
          <w:szCs w:val="24"/>
          <w:u w:color="000000"/>
          <w:rtl w:val="0"/>
          <w:lang w:val="en-US"/>
        </w:rPr>
      </w:pPr>
    </w:p>
    <w:tbl>
      <w:tblPr>
        <w:tblW w:w="9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0"/>
        <w:gridCol w:w="3067"/>
        <w:gridCol w:w="3069"/>
      </w:tblGrid>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pacing w:line="480" w:lineRule="auto"/>
            </w:pPr>
            <w:r>
              <w:rPr>
                <w:rFonts w:ascii="Trebuchet MS" w:hAnsi="Trebuchet MS"/>
                <w:sz w:val="24"/>
                <w:szCs w:val="24"/>
                <w:rtl w:val="0"/>
                <w:lang w:val="en-US"/>
              </w:rPr>
              <w:t>AUC (CI)</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pacing w:line="480" w:lineRule="auto"/>
            </w:pPr>
            <w:r>
              <w:rPr>
                <w:rFonts w:ascii="Trebuchet MS" w:hAnsi="Trebuchet MS"/>
                <w:sz w:val="24"/>
                <w:szCs w:val="24"/>
                <w:rtl w:val="0"/>
                <w:lang w:val="en-US"/>
              </w:rPr>
              <w:t>Brier (CI)</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Total ICU population</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0.80 (0.80-0.81)</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0.18 (0.18-0.18)</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Respiratory failure</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0.74 (0.72-0.75)</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0.20 (0.20-0.21)</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Circulatory failure</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0.84 (0.82-0.85)</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0.16 (0.16-0.17)</w:t>
            </w:r>
          </w:p>
        </w:tc>
      </w:tr>
      <w:tr>
        <w:tblPrEx>
          <w:shd w:val="clear" w:color="auto" w:fill="ced7e7"/>
        </w:tblPrEx>
        <w:trPr>
          <w:trHeight w:val="60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Respiratory and circulatory failure</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0.78 (0.78-0.78)</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0.19 (0.19-0.19)</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Sepsis</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0.78 (0.77-0.80)</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0.19 (0.18-0.20)</w:t>
            </w:r>
          </w:p>
        </w:tc>
      </w:tr>
      <w:tr>
        <w:tblPrEx>
          <w:shd w:val="clear" w:color="auto" w:fill="ced7e7"/>
        </w:tblPrEx>
        <w:trPr>
          <w:trHeight w:val="60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 xml:space="preserve">Head injury and/or multi-trauma </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0.76 (0.73-0.78)</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0.20 (0.19-0.21)</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Non-trauma</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0.81 (0.79-0.83)</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0.18 (0.17-0.19)</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Emergency surgery</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0.81 (0.79-0.83)</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0.15 (0.14-0.15)</w:t>
            </w:r>
          </w:p>
        </w:tc>
      </w:tr>
      <w:tr>
        <w:tblPrEx>
          <w:shd w:val="clear" w:color="auto" w:fill="ced7e7"/>
        </w:tblPrEx>
        <w:trPr>
          <w:trHeight w:val="320" w:hRule="atLeast"/>
        </w:trPr>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Calibri" w:cs="Calibri" w:hAnsi="Calibri" w:eastAsia="Calibri"/>
                <w:sz w:val="24"/>
                <w:szCs w:val="24"/>
                <w:rtl w:val="0"/>
                <w:lang w:val="en-US"/>
              </w:rPr>
              <w:t>Other</w:t>
            </w:r>
          </w:p>
        </w:tc>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0.81 (0.79-0.83)</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pPr>
            <w:r>
              <w:rPr>
                <w:rFonts w:ascii="Trebuchet MS" w:hAnsi="Trebuchet MS"/>
                <w:sz w:val="24"/>
                <w:szCs w:val="24"/>
                <w:rtl w:val="0"/>
                <w:lang w:val="en-US"/>
              </w:rPr>
              <w:t>0.14 (0.13-0.14)</w:t>
            </w:r>
          </w:p>
        </w:tc>
      </w:tr>
    </w:tbl>
    <w:p>
      <w:pPr>
        <w:pStyle w:val="Standaard"/>
        <w:widowControl w:val="0"/>
        <w:suppressAutoHyphens w:val="1"/>
        <w:bidi w:val="0"/>
        <w:ind w:left="324" w:right="0" w:hanging="324"/>
        <w:jc w:val="left"/>
        <w:rPr>
          <w:rFonts w:ascii="Calibri" w:cs="Calibri" w:hAnsi="Calibri" w:eastAsia="Calibri"/>
          <w:sz w:val="24"/>
          <w:szCs w:val="24"/>
          <w:u w:color="000000"/>
          <w:rtl w:val="0"/>
          <w:lang w:val="en-US"/>
        </w:rPr>
      </w:pPr>
    </w:p>
    <w:p>
      <w:pPr>
        <w:pStyle w:val="Standaard"/>
        <w:widowControl w:val="0"/>
        <w:suppressAutoHyphens w:val="1"/>
        <w:bidi w:val="0"/>
        <w:ind w:left="216" w:right="0" w:hanging="216"/>
        <w:jc w:val="left"/>
        <w:rPr>
          <w:rFonts w:ascii="Calibri" w:cs="Calibri" w:hAnsi="Calibri" w:eastAsia="Calibri"/>
          <w:sz w:val="24"/>
          <w:szCs w:val="24"/>
          <w:u w:color="000000"/>
          <w:rtl w:val="0"/>
          <w:lang w:val="en-US"/>
        </w:rPr>
      </w:pPr>
    </w:p>
    <w:p>
      <w:pPr>
        <w:pStyle w:val="Standaard"/>
        <w:widowControl w:val="0"/>
        <w:suppressAutoHyphens w:val="1"/>
        <w:bidi w:val="0"/>
        <w:ind w:left="108" w:right="0" w:hanging="108"/>
        <w:jc w:val="left"/>
        <w:rPr>
          <w:rtl w:val="0"/>
        </w:rPr>
      </w:pPr>
      <w:r>
        <w:rPr>
          <w:rFonts w:ascii="Calibri" w:cs="Calibri" w:hAnsi="Calibri" w:eastAsia="Calibri"/>
          <w:sz w:val="24"/>
          <w:szCs w:val="24"/>
          <w:u w:color="000000"/>
          <w:rtl w:val="0"/>
          <w:lang w:val="en-US"/>
        </w:rPr>
        <w:br w:type="page"/>
      </w:r>
    </w:p>
    <w:p>
      <w:pPr>
        <w:pStyle w:val="Standaard"/>
        <w:bidi w:val="0"/>
        <w:spacing w:line="48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Calibri" w:cs="Calibri" w:hAnsi="Calibri" w:eastAsia="Calibri"/>
          <w:b w:val="1"/>
          <w:bCs w:val="1"/>
          <w:sz w:val="24"/>
          <w:szCs w:val="24"/>
          <w:u w:color="000000"/>
          <w:rtl w:val="0"/>
          <w:lang w:val="nl-NL"/>
        </w:rPr>
        <w:t xml:space="preserve">3. </w:t>
      </w:r>
      <w:r>
        <w:rPr>
          <w:rFonts w:ascii="Calibri" w:cs="Calibri" w:hAnsi="Calibri" w:eastAsia="Calibri"/>
          <w:b w:val="1"/>
          <w:bCs w:val="1"/>
          <w:sz w:val="24"/>
          <w:szCs w:val="24"/>
          <w:u w:color="000000"/>
          <w:rtl w:val="0"/>
          <w:lang w:val="nl-NL"/>
        </w:rPr>
        <w:t>GiViTi calibration belt</w:t>
      </w:r>
      <w:r>
        <w:rPr>
          <w:rFonts w:ascii="Times New Roman" w:hAnsi="Times New Roman"/>
          <w:b w:val="1"/>
          <w:bCs w:val="1"/>
          <w:sz w:val="24"/>
          <w:szCs w:val="24"/>
          <w:u w:color="000000"/>
          <w:rtl w:val="0"/>
          <w:lang w:val="en-US"/>
        </w:rPr>
        <w:t xml:space="preserve"> </w:t>
      </w:r>
    </w:p>
    <w:p>
      <w:pPr>
        <w:pStyle w:val="Standaard"/>
        <w:bidi w:val="0"/>
        <w:spacing w:line="48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drawing>
          <wp:inline distT="0" distB="0" distL="0" distR="0">
            <wp:extent cx="5756910" cy="546680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5756910" cy="5466801"/>
                    </a:xfrm>
                    <a:prstGeom prst="rect">
                      <a:avLst/>
                    </a:prstGeom>
                    <a:ln w="12700" cap="flat">
                      <a:noFill/>
                      <a:miter lim="400000"/>
                    </a:ln>
                    <a:effectLst/>
                  </pic:spPr>
                </pic:pic>
              </a:graphicData>
            </a:graphic>
          </wp:inline>
        </w:drawing>
      </w:r>
    </w:p>
    <w:p>
      <w:pPr>
        <w:pStyle w:val="Standaard"/>
        <w:bidi w:val="0"/>
        <w:spacing w:line="480" w:lineRule="auto"/>
        <w:ind w:left="0" w:right="0" w:firstLine="0"/>
        <w:jc w:val="left"/>
        <w:rPr>
          <w:rFonts w:ascii="Times New Roman" w:cs="Times New Roman" w:hAnsi="Times New Roman" w:eastAsia="Times New Roman"/>
          <w:sz w:val="24"/>
          <w:szCs w:val="24"/>
          <w:u w:color="000000"/>
          <w:rtl w:val="0"/>
          <w:lang w:val="en-US"/>
        </w:rPr>
      </w:pPr>
    </w:p>
    <w:p>
      <w:pPr>
        <w:pStyle w:val="Standaard"/>
        <w:bidi w:val="0"/>
        <w:spacing w:line="480" w:lineRule="auto"/>
        <w:ind w:left="0" w:right="0" w:firstLine="0"/>
        <w:jc w:val="left"/>
        <w:rPr>
          <w:rtl w:val="0"/>
        </w:rPr>
      </w:pPr>
      <w:r>
        <w:rPr>
          <w:rFonts w:ascii="Calibri" w:cs="Calibri" w:hAnsi="Calibri" w:eastAsia="Calibri"/>
          <w:sz w:val="24"/>
          <w:szCs w:val="24"/>
          <w:u w:color="000000"/>
          <w:rtl w:val="0"/>
          <w:lang w:val="en-US"/>
        </w:rPr>
        <w:t xml:space="preserve">GiViTI (Italian Group for the Evaluation of Interventions in Intensive Care Medicine) </w:t>
      </w:r>
      <w:r>
        <w:rPr>
          <w:rFonts w:ascii="Calibri" w:cs="Calibri" w:hAnsi="Calibri" w:eastAsia="Calibri"/>
          <w:sz w:val="24"/>
          <w:szCs w:val="24"/>
          <w:u w:color="000000"/>
          <w:rtl w:val="0"/>
          <w:lang w:val="nl-NL"/>
        </w:rPr>
        <w:t>has developed a tool to assess the</w:t>
      </w:r>
      <w:r>
        <w:rPr>
          <w:rFonts w:ascii="Calibri" w:cs="Calibri" w:hAnsi="Calibri" w:eastAsia="Calibri"/>
          <w:sz w:val="24"/>
          <w:szCs w:val="24"/>
          <w:u w:color="000000"/>
          <w:rtl w:val="0"/>
          <w:lang w:val="en-US"/>
        </w:rPr>
        <w:t xml:space="preserve"> confidence band</w:t>
      </w:r>
      <w:r>
        <w:rPr>
          <w:rFonts w:ascii="Calibri" w:cs="Calibri" w:hAnsi="Calibri" w:eastAsia="Calibri"/>
          <w:sz w:val="24"/>
          <w:szCs w:val="24"/>
          <w:u w:color="000000"/>
          <w:rtl w:val="0"/>
          <w:lang w:val="nl-NL"/>
        </w:rPr>
        <w:t>s</w:t>
      </w:r>
      <w:r>
        <w:rPr>
          <w:rFonts w:ascii="Calibri" w:cs="Calibri" w:hAnsi="Calibri" w:eastAsia="Calibri"/>
          <w:sz w:val="24"/>
          <w:szCs w:val="24"/>
          <w:u w:color="000000"/>
          <w:rtl w:val="0"/>
          <w:lang w:val="en-US"/>
        </w:rPr>
        <w:t xml:space="preserve"> for the calibration curve based on a function that relates expected to observed probabilities across classes of risk. The calibration belt allows the ranges of risk to be spotted where there is a significant deviation from the ideal calibration</w:t>
      </w:r>
      <w:r>
        <w:rPr>
          <w:rFonts w:ascii="Calibri" w:cs="Calibri" w:hAnsi="Calibri" w:eastAsia="Calibri"/>
          <w:sz w:val="24"/>
          <w:szCs w:val="24"/>
          <w:u w:color="000000"/>
          <w:rtl w:val="0"/>
          <w:lang w:val="nl-NL"/>
        </w:rPr>
        <w:t>.</w:t>
      </w:r>
      <w:r>
        <w:rPr>
          <w:rFonts w:ascii="Calibri" w:cs="Calibri" w:hAnsi="Calibri" w:eastAsia="Calibri"/>
          <w:sz w:val="24"/>
          <w:szCs w:val="24"/>
          <w:u w:color="000000"/>
          <w:rtl w:val="0"/>
          <w:lang w:val="nl-NL"/>
        </w:rPr>
        <w:br w:type="page"/>
      </w:r>
    </w:p>
    <w:p>
      <w:pPr>
        <w:pStyle w:val="Hoofdtekst A"/>
        <w:suppressAutoHyphens w:val="1"/>
        <w:spacing w:line="360" w:lineRule="auto"/>
        <w:rPr>
          <w:rFonts w:ascii="Calibri" w:cs="Calibri" w:hAnsi="Calibri" w:eastAsia="Calibri"/>
          <w:sz w:val="24"/>
          <w:szCs w:val="24"/>
          <w:lang w:val="en-US"/>
        </w:rPr>
      </w:pPr>
      <w:r>
        <w:rPr>
          <w:rFonts w:ascii="Calibri" w:cs="Calibri" w:hAnsi="Calibri" w:eastAsia="Calibri"/>
          <w:b w:val="1"/>
          <w:bCs w:val="1"/>
          <w:sz w:val="24"/>
          <w:szCs w:val="24"/>
          <w:rtl w:val="0"/>
          <w:lang w:val="en-US"/>
        </w:rPr>
        <w:t>4.</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Prediction model based on a point system</w:t>
      </w:r>
    </w:p>
    <w:p>
      <w:pPr>
        <w:pStyle w:val="Hoofdtekst A"/>
        <w:suppressAutoHyphens w:val="1"/>
        <w:spacing w:line="360" w:lineRule="auto"/>
        <w:rPr>
          <w:rFonts w:ascii="Calibri" w:cs="Calibri" w:hAnsi="Calibri" w:eastAsia="Calibri"/>
          <w:sz w:val="24"/>
          <w:szCs w:val="24"/>
          <w:lang w:val="en-US"/>
        </w:rPr>
      </w:pPr>
    </w:p>
    <w:tbl>
      <w:tblPr>
        <w:tblW w:w="90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
        <w:gridCol w:w="1011"/>
        <w:gridCol w:w="1012"/>
        <w:gridCol w:w="1012"/>
        <w:gridCol w:w="1013"/>
        <w:gridCol w:w="1014"/>
        <w:gridCol w:w="1013"/>
        <w:gridCol w:w="1087"/>
        <w:gridCol w:w="1014"/>
      </w:tblGrid>
      <w:tr>
        <w:tblPrEx>
          <w:shd w:val="clear" w:color="auto" w:fill="ced7e7"/>
        </w:tblPrEx>
        <w:trPr>
          <w:trHeight w:val="103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sz w:val="18"/>
                <w:szCs w:val="18"/>
                <w:rtl w:val="0"/>
                <w:lang w:val="nl-NL"/>
              </w:rPr>
              <w:t>CPS Points</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 xml:space="preserve">Age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 xml:space="preserve">Gender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Reason for ICU admission*</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SOFA score</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Clinical Frailty score</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Invasive Mechanical Ventilation</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Renal replacement Therapy</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b w:val="1"/>
                <w:bCs w:val="1"/>
                <w:sz w:val="18"/>
                <w:szCs w:val="18"/>
                <w:rtl w:val="0"/>
                <w:lang w:val="nl-NL"/>
              </w:rPr>
              <w:t>Vasoactive drugs</w:t>
            </w:r>
          </w:p>
        </w:tc>
      </w:tr>
      <w:tr>
        <w:tblPrEx>
          <w:shd w:val="clear" w:color="auto" w:fill="ced7e7"/>
        </w:tblPrEx>
        <w:trPr>
          <w:trHeight w:val="31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0</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&lt;83</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female</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9</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&lt;3</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&lt;3</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0</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0</w:t>
            </w:r>
          </w:p>
        </w:tc>
      </w:tr>
      <w:tr>
        <w:tblPrEx>
          <w:shd w:val="clear" w:color="auto" w:fill="ced7e7"/>
        </w:tblPrEx>
        <w:trPr>
          <w:trHeight w:val="34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1</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83-&lt;87</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male</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cdcdc"/>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3-&lt;6</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3</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1</w:t>
            </w:r>
          </w:p>
        </w:tc>
      </w:tr>
      <w:tr>
        <w:tblPrEx>
          <w:shd w:val="clear" w:color="auto" w:fill="ced7e7"/>
        </w:tblPrEx>
        <w:trPr>
          <w:trHeight w:val="34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2</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87</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cdcdc"/>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4,5</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1</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34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3</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line="20" w:lineRule="atLeast"/>
            </w:pPr>
            <w:r>
              <w:rPr>
                <w:rFonts w:ascii="Calibri" w:cs="Calibri" w:hAnsi="Calibri" w:eastAsia="Calibri"/>
                <w:sz w:val="18"/>
                <w:szCs w:val="18"/>
                <w:rtl w:val="0"/>
                <w:lang w:val="en-US"/>
              </w:rPr>
              <w:t>11,99</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6-&lt;8</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6</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66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4</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cdcdc"/>
            <w:tcMar>
              <w:top w:type="dxa" w:w="80"/>
              <w:left w:type="dxa" w:w="80"/>
              <w:bottom w:type="dxa" w:w="80"/>
              <w:right w:type="dxa" w:w="80"/>
            </w:tcMar>
            <w:vAlign w:val="top"/>
          </w:tcPr>
          <w:p>
            <w:pPr>
              <w:pStyle w:val="Hoofdtekst A"/>
              <w:shd w:val="clear" w:color="auto" w:fill="dcdcdc"/>
              <w:suppressAutoHyphens w:val="1"/>
              <w:spacing w:line="20" w:lineRule="atLeast"/>
              <w:rPr>
                <w:rFonts w:ascii="Calibri" w:cs="Calibri" w:hAnsi="Calibri" w:eastAsia="Calibri"/>
                <w:sz w:val="18"/>
                <w:szCs w:val="18"/>
                <w:lang w:val="en-US"/>
              </w:rPr>
            </w:pPr>
          </w:p>
          <w:p>
            <w:pPr>
              <w:pStyle w:val="Hoofdtekst A"/>
              <w:suppressAutoHyphens w:val="1"/>
              <w:spacing w:line="20" w:lineRule="atLeast"/>
              <w:rPr>
                <w:rFonts w:ascii="Calibri" w:cs="Calibri" w:hAnsi="Calibri" w:eastAsia="Calibri"/>
                <w:sz w:val="18"/>
                <w:szCs w:val="18"/>
                <w:lang w:val="en-US"/>
              </w:rPr>
            </w:pPr>
          </w:p>
          <w:p>
            <w:pPr>
              <w:pStyle w:val="Hoofdtekst A"/>
              <w:tabs>
                <w:tab w:val="left" w:pos="795"/>
              </w:tabs>
              <w:suppressAutoHyphens w:val="1"/>
              <w:bidi w:val="0"/>
              <w:spacing w:line="20" w:lineRule="atLeast"/>
              <w:ind w:left="0" w:right="0" w:firstLine="0"/>
              <w:jc w:val="left"/>
              <w:rPr>
                <w:rtl w:val="0"/>
              </w:rPr>
            </w:pPr>
            <w:r>
              <w:rPr>
                <w:rFonts w:ascii="Calibri" w:cs="Calibri" w:hAnsi="Calibri" w:eastAsia="Calibri"/>
                <w:sz w:val="18"/>
                <w:szCs w:val="18"/>
                <w:lang w:val="en-US"/>
              </w:rPr>
              <w:tab/>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8-&lt;11</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r>
      <w:tr>
        <w:tblPrEx>
          <w:shd w:val="clear" w:color="auto" w:fill="ced7e7"/>
        </w:tblPrEx>
        <w:trPr>
          <w:trHeight w:val="34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5</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1,2,4,5</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cdcdc"/>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single" w:color="000000"/>
                <w:vertAlign w:val="baseline"/>
                <w:rtl w:val="0"/>
                <w:lang w:val="nl-NL"/>
              </w:rPr>
              <w:t>&gt;</w:t>
            </w: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7</w:t>
            </w: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r>
      <w:tr>
        <w:tblPrEx>
          <w:shd w:val="clear" w:color="auto" w:fill="ced7e7"/>
        </w:tblPrEx>
        <w:trPr>
          <w:trHeight w:val="34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6</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3,7</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 xml:space="preserve"> </w:t>
            </w:r>
            <w:r>
              <w:rPr>
                <w:rFonts w:ascii="Calibri" w:cs="Calibri" w:hAnsi="Calibri" w:eastAsia="Calibri"/>
                <w:sz w:val="18"/>
                <w:szCs w:val="18"/>
                <w:u w:val="single"/>
                <w:rtl w:val="0"/>
                <w:lang w:val="nl-NL"/>
              </w:rPr>
              <w:t>&gt;</w:t>
            </w:r>
            <w:r>
              <w:rPr>
                <w:rFonts w:ascii="Calibri" w:cs="Calibri" w:hAnsi="Calibri" w:eastAsia="Calibri"/>
                <w:sz w:val="18"/>
                <w:szCs w:val="18"/>
                <w:rtl w:val="0"/>
                <w:lang w:val="nl-NL"/>
              </w:rPr>
              <w:t>11</w:t>
            </w: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cdcdc"/>
            <w:tcMar>
              <w:top w:type="dxa" w:w="80"/>
              <w:left w:type="dxa" w:w="80"/>
              <w:bottom w:type="dxa" w:w="80"/>
              <w:right w:type="dxa" w:w="80"/>
            </w:tcMar>
            <w:vAlign w:val="top"/>
          </w:tcP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r>
      <w:tr>
        <w:tblPrEx>
          <w:shd w:val="clear" w:color="auto" w:fill="ced7e7"/>
        </w:tblPrEx>
        <w:trPr>
          <w:trHeight w:val="790" w:hRule="atLeast"/>
        </w:trPr>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7</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oofdtekst A"/>
              <w:suppressAutoHyphens w:val="1"/>
              <w:spacing w:after="200" w:line="20" w:lineRule="atLeast"/>
            </w:pPr>
            <w:r>
              <w:rPr>
                <w:rFonts w:ascii="Calibri" w:cs="Calibri" w:hAnsi="Calibri" w:eastAsia="Calibri"/>
                <w:sz w:val="18"/>
                <w:szCs w:val="18"/>
                <w:rtl w:val="0"/>
                <w:lang w:val="nl-NL"/>
              </w:rPr>
              <w:t>6,10</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r>
    </w:tbl>
    <w:p>
      <w:pPr>
        <w:pStyle w:val="Hoofdtekst A"/>
        <w:widowControl w:val="0"/>
        <w:suppressAutoHyphens w:val="1"/>
        <w:ind w:left="108" w:hanging="108"/>
        <w:rPr>
          <w:rFonts w:ascii="Calibri" w:cs="Calibri" w:hAnsi="Calibri" w:eastAsia="Calibri"/>
          <w:sz w:val="24"/>
          <w:szCs w:val="24"/>
          <w:lang w:val="en-US"/>
        </w:rPr>
      </w:pPr>
    </w:p>
    <w:p>
      <w:pPr>
        <w:pStyle w:val="Hoofdtekst A"/>
        <w:widowControl w:val="0"/>
        <w:suppressAutoHyphens w:val="1"/>
        <w:rPr>
          <w:rFonts w:ascii="Calibri" w:cs="Calibri" w:hAnsi="Calibri" w:eastAsia="Calibri"/>
          <w:sz w:val="24"/>
          <w:szCs w:val="24"/>
          <w:lang w:val="en-US"/>
        </w:rPr>
      </w:pPr>
    </w:p>
    <w:p>
      <w:pPr>
        <w:pStyle w:val="Hoofdtekst A"/>
        <w:widowControl w:val="0"/>
        <w:suppressAutoHyphens w:val="1"/>
        <w:ind w:left="432" w:hanging="432"/>
        <w:rPr>
          <w:rFonts w:ascii="Calibri" w:cs="Calibri" w:hAnsi="Calibri" w:eastAsia="Calibri"/>
          <w:sz w:val="24"/>
          <w:szCs w:val="24"/>
          <w:lang w:val="en-US"/>
        </w:rPr>
      </w:pPr>
    </w:p>
    <w:p>
      <w:pPr>
        <w:pStyle w:val="Hoofdtekst A"/>
        <w:widowControl w:val="0"/>
        <w:suppressAutoHyphens w:val="1"/>
        <w:ind w:left="324" w:hanging="324"/>
        <w:rPr>
          <w:rFonts w:ascii="Calibri" w:cs="Calibri" w:hAnsi="Calibri" w:eastAsia="Calibri"/>
          <w:sz w:val="24"/>
          <w:szCs w:val="24"/>
          <w:lang w:val="en-US"/>
        </w:rPr>
      </w:pPr>
    </w:p>
    <w:p>
      <w:pPr>
        <w:pStyle w:val="Hoofdtekst A"/>
        <w:suppressAutoHyphens w:val="1"/>
        <w:spacing w:line="360" w:lineRule="auto"/>
        <w:rPr>
          <w:rFonts w:ascii="Calibri" w:cs="Calibri" w:hAnsi="Calibri" w:eastAsia="Calibri"/>
          <w:sz w:val="24"/>
          <w:szCs w:val="24"/>
          <w:lang w:val="en-US"/>
        </w:rPr>
      </w:pPr>
    </w:p>
    <w:p>
      <w:pPr>
        <w:pStyle w:val="Normal.0"/>
        <w:rPr>
          <w:rFonts w:ascii="Calibri" w:cs="Calibri" w:hAnsi="Calibri" w:eastAsia="Calibri"/>
        </w:rPr>
      </w:pPr>
      <w:r>
        <w:rPr>
          <w:rFonts w:ascii="Calibri" w:cs="Calibri" w:hAnsi="Calibri" w:eastAsia="Calibri"/>
          <w:rtl w:val="0"/>
          <w:lang w:val="en-US"/>
        </w:rPr>
        <w:t xml:space="preserve">Legend to Table </w:t>
      </w:r>
      <w:r>
        <w:rPr>
          <w:rFonts w:ascii="Calibri" w:cs="Calibri" w:hAnsi="Calibri" w:eastAsia="Calibri"/>
          <w:rtl w:val="0"/>
          <w:lang w:val="nl-NL"/>
        </w:rPr>
        <w:t>S4</w:t>
      </w:r>
      <w:r>
        <w:rPr>
          <w:rFonts w:ascii="Calibri" w:cs="Calibri" w:hAnsi="Calibri" w:eastAsia="Calibri"/>
          <w:rtl w:val="0"/>
          <w:lang w:val="en-US"/>
        </w:rPr>
        <w:t xml:space="preserve">: </w:t>
      </w:r>
    </w:p>
    <w:p>
      <w:pPr>
        <w:pStyle w:val="Normal.0"/>
        <w:rPr>
          <w:rFonts w:ascii="Calibri" w:cs="Calibri" w:hAnsi="Calibri" w:eastAsia="Calibri"/>
        </w:rPr>
      </w:pPr>
    </w:p>
    <w:p>
      <w:pPr>
        <w:pStyle w:val="Hoofdtekst A"/>
        <w:suppressAutoHyphens w:val="1"/>
        <w:spacing w:line="360" w:lineRule="auto"/>
        <w:rPr>
          <w:rFonts w:ascii="Calibri" w:cs="Calibri" w:hAnsi="Calibri" w:eastAsia="Calibri"/>
        </w:rPr>
      </w:pPr>
      <w:r>
        <w:rPr>
          <w:rFonts w:ascii="Calibri" w:cs="Calibri" w:hAnsi="Calibri" w:eastAsia="Calibri"/>
          <w:sz w:val="24"/>
          <w:szCs w:val="24"/>
          <w:rtl w:val="0"/>
          <w:lang w:val="nl-NL"/>
        </w:rPr>
        <w:t xml:space="preserve">CPS means the Cumulative Prognostic Score, ICU means Intensive Care Unit, </w:t>
      </w:r>
      <w:r>
        <w:rPr>
          <w:rFonts w:ascii="Calibri" w:cs="Calibri" w:hAnsi="Calibri" w:eastAsia="Calibri"/>
          <w:sz w:val="24"/>
          <w:szCs w:val="24"/>
          <w:rtl w:val="0"/>
          <w:lang w:val="en-US"/>
        </w:rPr>
        <w:t>*</w:t>
      </w:r>
      <w:r>
        <w:rPr>
          <w:rFonts w:ascii="Calibri" w:cs="Calibri" w:hAnsi="Calibri" w:eastAsia="Calibri"/>
          <w:sz w:val="24"/>
          <w:szCs w:val="24"/>
          <w:rtl w:val="0"/>
          <w:lang w:val="nl-NL"/>
        </w:rPr>
        <w:t xml:space="preserve">Reasons for admission to the ICU are: </w:t>
      </w:r>
      <w:r>
        <w:rPr>
          <w:rFonts w:ascii="Calibri" w:cs="Calibri" w:hAnsi="Calibri" w:eastAsia="Calibri"/>
          <w:sz w:val="24"/>
          <w:szCs w:val="24"/>
          <w:rtl w:val="0"/>
          <w:lang w:val="en-US"/>
        </w:rPr>
        <w:t>1=Respiratory Failure, 2=Circulatory failure, 3=Respiratory and circulatory failure, 4=Sepsis, 5=Multi-trauma without head injury, 6=Multi-trauma with head injury, 7=Isolated Head Injury, 9=intoxication, 10=non-trauma CNS causes, 11=Emergency surgery, 99=Other</w:t>
      </w:r>
      <w:r>
        <w:rPr>
          <w:rFonts w:ascii="Calibri" w:cs="Calibri" w:hAnsi="Calibri" w:eastAsia="Calibri"/>
          <w:sz w:val="24"/>
          <w:szCs w:val="24"/>
          <w:rtl w:val="0"/>
          <w:lang w:val="en-US"/>
        </w:rPr>
        <w:t>  </w:t>
      </w:r>
    </w:p>
    <w:p>
      <w:pPr>
        <w:pStyle w:val="Standaard"/>
        <w:suppressAutoHyphens w:val="1"/>
        <w:bidi w:val="0"/>
        <w:spacing w:line="360" w:lineRule="auto"/>
        <w:ind w:left="0" w:right="418" w:firstLine="0"/>
        <w:jc w:val="left"/>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Standaard"/>
        <w:suppressAutoHyphens w:val="1"/>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nl-NL"/>
        </w:rPr>
        <w:t xml:space="preserve">5. </w:t>
      </w:r>
      <w:r>
        <w:rPr>
          <w:rFonts w:ascii="Calibri" w:cs="Calibri" w:hAnsi="Calibri" w:eastAsia="Calibri"/>
          <w:b w:val="1"/>
          <w:bCs w:val="1"/>
          <w:sz w:val="24"/>
          <w:szCs w:val="24"/>
          <w:u w:color="000000"/>
          <w:rtl w:val="0"/>
          <w:lang w:val="en-US"/>
        </w:rPr>
        <w:t xml:space="preserve">Demographics for patients with </w:t>
      </w:r>
      <w:r>
        <w:rPr>
          <w:rFonts w:ascii="Calibri" w:cs="Calibri" w:hAnsi="Calibri" w:eastAsia="Calibri" w:hint="default"/>
          <w:b w:val="1"/>
          <w:bCs w:val="1"/>
          <w:sz w:val="24"/>
          <w:szCs w:val="24"/>
          <w:u w:color="000000"/>
          <w:rtl w:val="0"/>
          <w:lang w:val="en-US"/>
        </w:rPr>
        <w:t>≤</w:t>
      </w:r>
      <w:r>
        <w:rPr>
          <w:rFonts w:ascii="Calibri" w:cs="Calibri" w:hAnsi="Calibri" w:eastAsia="Calibri"/>
          <w:b w:val="1"/>
          <w:bCs w:val="1"/>
          <w:sz w:val="24"/>
          <w:szCs w:val="24"/>
          <w:u w:color="000000"/>
          <w:rtl w:val="0"/>
          <w:lang w:val="en-US"/>
        </w:rPr>
        <w:t xml:space="preserve">10 and &gt;10 </w:t>
      </w:r>
      <w:r>
        <w:rPr>
          <w:rFonts w:ascii="Calibri" w:cs="Calibri" w:hAnsi="Calibri" w:eastAsia="Calibri"/>
          <w:b w:val="1"/>
          <w:bCs w:val="1"/>
          <w:sz w:val="24"/>
          <w:szCs w:val="24"/>
          <w:u w:color="000000"/>
          <w:rtl w:val="0"/>
          <w:lang w:val="nl-NL"/>
        </w:rPr>
        <w:t>Cumulative Prognostic Score (CPS)</w:t>
      </w:r>
    </w:p>
    <w:p>
      <w:pPr>
        <w:pStyle w:val="Standaard"/>
        <w:suppressAutoHyphens w:val="1"/>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2"/>
          <w:szCs w:val="22"/>
          <w:u w:color="000000"/>
          <w:rtl w:val="0"/>
          <w:lang w:val="en-US"/>
        </w:rPr>
        <w:br w:type="textWrapping"/>
      </w:r>
      <w:r>
        <w:rPr>
          <w:rFonts w:ascii="Calibri" w:cs="Calibri" w:hAnsi="Calibri" w:eastAsia="Calibri"/>
          <w:sz w:val="24"/>
          <w:szCs w:val="24"/>
          <w:u w:color="000000"/>
          <w:rtl w:val="0"/>
          <w:lang w:val="en-US"/>
        </w:rPr>
        <w:br w:type="textWrapping"/>
      </w:r>
    </w:p>
    <w:tbl>
      <w:tblPr>
        <w:tblW w:w="92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28"/>
        <w:gridCol w:w="1239"/>
        <w:gridCol w:w="1464"/>
        <w:gridCol w:w="1239"/>
        <w:gridCol w:w="1462"/>
      </w:tblGrid>
      <w:tr>
        <w:tblPrEx>
          <w:shd w:val="clear" w:color="auto" w:fill="4f81bd"/>
        </w:tblPrEx>
        <w:trPr>
          <w:trHeight w:val="1515" w:hRule="atLeast"/>
          <w:tblHeader/>
        </w:trPr>
        <w:tc>
          <w:tcPr>
            <w:tcW w:type="dxa" w:w="3828"/>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Standaard"/>
              <w:suppressAutoHyphens w:val="1"/>
              <w:bidi w:val="0"/>
              <w:ind w:left="0" w:right="0" w:firstLine="0"/>
              <w:jc w:val="left"/>
              <w:rPr>
                <w:rtl w:val="0"/>
              </w:rPr>
            </w:pPr>
            <w:r>
              <w:rPr>
                <w:rFonts w:ascii="Calibri" w:cs="Calibri" w:hAnsi="Calibri" w:eastAsia="Calibri"/>
                <w:b w:val="1"/>
                <w:bCs w:val="1"/>
                <w:sz w:val="22"/>
                <w:szCs w:val="22"/>
                <w:u w:color="000000"/>
                <w:rtl w:val="0"/>
                <w:lang w:val="en-US"/>
              </w:rPr>
              <w:t xml:space="preserve"> </w:t>
            </w:r>
          </w:p>
        </w:tc>
        <w:tc>
          <w:tcPr>
            <w:tcW w:type="dxa" w:w="1239"/>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Standaard"/>
              <w:suppressAutoHyphens w:val="1"/>
              <w:bidi w:val="0"/>
              <w:ind w:left="0" w:right="0" w:firstLine="0"/>
              <w:jc w:val="left"/>
              <w:rPr>
                <w:rtl w:val="0"/>
              </w:rPr>
            </w:pPr>
            <w:r>
              <w:rPr>
                <w:rFonts w:ascii="Calibri" w:cs="Calibri" w:hAnsi="Calibri" w:eastAsia="Calibri"/>
                <w:b w:val="1"/>
                <w:bCs w:val="1"/>
                <w:sz w:val="22"/>
                <w:szCs w:val="22"/>
                <w:u w:color="000000"/>
                <w:rtl w:val="0"/>
                <w:lang w:val="en-US"/>
              </w:rPr>
              <w:t xml:space="preserve">Number of patients with 30day </w:t>
            </w:r>
            <w:r>
              <w:rPr>
                <w:rFonts w:ascii="Calibri" w:cs="Calibri" w:hAnsi="Calibri" w:eastAsia="Calibri"/>
                <w:b w:val="1"/>
                <w:bCs w:val="1"/>
                <w:sz w:val="22"/>
                <w:szCs w:val="22"/>
                <w:u w:color="000000"/>
                <w:rtl w:val="0"/>
                <w:lang w:val="nl-NL"/>
              </w:rPr>
              <w:t>CPS</w:t>
            </w:r>
            <w:r>
              <w:rPr>
                <w:rFonts w:ascii="Calibri" w:cs="Calibri" w:hAnsi="Calibri" w:eastAsia="Calibri" w:hint="default"/>
                <w:b w:val="1"/>
                <w:bCs w:val="1"/>
                <w:sz w:val="22"/>
                <w:szCs w:val="22"/>
                <w:u w:color="000000"/>
                <w:rtl w:val="0"/>
                <w:lang w:val="en-US"/>
              </w:rPr>
              <w:t xml:space="preserve"> ≤</w:t>
            </w:r>
            <w:r>
              <w:rPr>
                <w:rFonts w:ascii="Calibri" w:cs="Calibri" w:hAnsi="Calibri" w:eastAsia="Calibri"/>
                <w:b w:val="1"/>
                <w:bCs w:val="1"/>
                <w:sz w:val="22"/>
                <w:szCs w:val="22"/>
                <w:u w:color="000000"/>
                <w:rtl w:val="0"/>
                <w:lang w:val="en-US"/>
              </w:rPr>
              <w:t>10</w:t>
            </w:r>
          </w:p>
        </w:tc>
        <w:tc>
          <w:tcPr>
            <w:tcW w:type="dxa" w:w="1464"/>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Standaard"/>
              <w:suppressAutoHyphens w:val="1"/>
              <w:bidi w:val="0"/>
              <w:ind w:left="0" w:right="0" w:firstLine="0"/>
              <w:jc w:val="left"/>
              <w:rPr>
                <w:rtl w:val="0"/>
              </w:rPr>
            </w:pPr>
            <w:r>
              <w:rPr>
                <w:rFonts w:ascii="Calibri" w:cs="Calibri" w:hAnsi="Calibri" w:eastAsia="Calibri"/>
                <w:b w:val="1"/>
                <w:bCs w:val="1"/>
                <w:sz w:val="22"/>
                <w:szCs w:val="22"/>
                <w:u w:color="000000"/>
                <w:rtl w:val="0"/>
                <w:lang w:val="en-US"/>
              </w:rPr>
              <w:t xml:space="preserve">Percentages of patients with 30day </w:t>
            </w:r>
            <w:r>
              <w:rPr>
                <w:rFonts w:ascii="Calibri" w:cs="Calibri" w:hAnsi="Calibri" w:eastAsia="Calibri"/>
                <w:b w:val="1"/>
                <w:bCs w:val="1"/>
                <w:sz w:val="22"/>
                <w:szCs w:val="22"/>
                <w:u w:color="000000"/>
                <w:rtl w:val="0"/>
                <w:lang w:val="nl-NL"/>
              </w:rPr>
              <w:t>CPS</w:t>
            </w:r>
            <w:r>
              <w:rPr>
                <w:rFonts w:ascii="Calibri" w:cs="Calibri" w:hAnsi="Calibri" w:eastAsia="Calibri" w:hint="default"/>
                <w:b w:val="1"/>
                <w:bCs w:val="1"/>
                <w:sz w:val="22"/>
                <w:szCs w:val="22"/>
                <w:u w:color="000000"/>
                <w:rtl w:val="0"/>
                <w:lang w:val="en-US"/>
              </w:rPr>
              <w:t xml:space="preserve"> ≤</w:t>
            </w:r>
            <w:r>
              <w:rPr>
                <w:rFonts w:ascii="Calibri" w:cs="Calibri" w:hAnsi="Calibri" w:eastAsia="Calibri"/>
                <w:b w:val="1"/>
                <w:bCs w:val="1"/>
                <w:sz w:val="22"/>
                <w:szCs w:val="22"/>
                <w:u w:color="000000"/>
                <w:rtl w:val="0"/>
                <w:lang w:val="en-US"/>
              </w:rPr>
              <w:t>10</w:t>
            </w:r>
          </w:p>
        </w:tc>
        <w:tc>
          <w:tcPr>
            <w:tcW w:type="dxa" w:w="1239"/>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Standaard"/>
              <w:suppressAutoHyphens w:val="1"/>
              <w:bidi w:val="0"/>
              <w:ind w:left="0" w:right="0" w:firstLine="0"/>
              <w:jc w:val="left"/>
              <w:rPr>
                <w:rtl w:val="0"/>
              </w:rPr>
            </w:pPr>
            <w:r>
              <w:rPr>
                <w:rFonts w:ascii="Calibri" w:cs="Calibri" w:hAnsi="Calibri" w:eastAsia="Calibri"/>
                <w:b w:val="1"/>
                <w:bCs w:val="1"/>
                <w:sz w:val="22"/>
                <w:szCs w:val="22"/>
                <w:u w:color="000000"/>
                <w:rtl w:val="0"/>
                <w:lang w:val="en-US"/>
              </w:rPr>
              <w:t xml:space="preserve">Number of patients with 30day </w:t>
            </w:r>
            <w:r>
              <w:rPr>
                <w:rFonts w:ascii="Calibri" w:cs="Calibri" w:hAnsi="Calibri" w:eastAsia="Calibri"/>
                <w:b w:val="1"/>
                <w:bCs w:val="1"/>
                <w:sz w:val="22"/>
                <w:szCs w:val="22"/>
                <w:u w:color="000000"/>
                <w:rtl w:val="0"/>
                <w:lang w:val="nl-NL"/>
              </w:rPr>
              <w:t>CPS</w:t>
            </w:r>
            <w:r>
              <w:rPr>
                <w:rFonts w:ascii="Calibri" w:cs="Calibri" w:hAnsi="Calibri" w:eastAsia="Calibri"/>
                <w:b w:val="1"/>
                <w:bCs w:val="1"/>
                <w:sz w:val="22"/>
                <w:szCs w:val="22"/>
                <w:u w:color="000000"/>
                <w:rtl w:val="0"/>
                <w:lang w:val="en-US"/>
              </w:rPr>
              <w:t xml:space="preserve"> &gt;10</w:t>
            </w:r>
          </w:p>
        </w:tc>
        <w:tc>
          <w:tcPr>
            <w:tcW w:type="dxa" w:w="146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Standaard"/>
              <w:suppressAutoHyphens w:val="1"/>
              <w:bidi w:val="0"/>
              <w:ind w:left="0" w:right="0" w:firstLine="0"/>
              <w:jc w:val="left"/>
              <w:rPr>
                <w:rtl w:val="0"/>
              </w:rPr>
            </w:pPr>
            <w:r>
              <w:rPr>
                <w:rFonts w:ascii="Calibri" w:cs="Calibri" w:hAnsi="Calibri" w:eastAsia="Calibri"/>
                <w:b w:val="1"/>
                <w:bCs w:val="1"/>
                <w:sz w:val="22"/>
                <w:szCs w:val="22"/>
                <w:u w:color="000000"/>
                <w:rtl w:val="0"/>
                <w:lang w:val="en-US"/>
              </w:rPr>
              <w:t xml:space="preserve">Percentages of patients with 30day </w:t>
            </w:r>
            <w:r>
              <w:rPr>
                <w:rFonts w:ascii="Calibri" w:cs="Calibri" w:hAnsi="Calibri" w:eastAsia="Calibri"/>
                <w:b w:val="1"/>
                <w:bCs w:val="1"/>
                <w:sz w:val="22"/>
                <w:szCs w:val="22"/>
                <w:u w:color="000000"/>
                <w:rtl w:val="0"/>
                <w:lang w:val="nl-NL"/>
              </w:rPr>
              <w:t>CPS</w:t>
            </w:r>
            <w:r>
              <w:rPr>
                <w:rFonts w:ascii="Calibri" w:cs="Calibri" w:hAnsi="Calibri" w:eastAsia="Calibri"/>
                <w:b w:val="1"/>
                <w:bCs w:val="1"/>
                <w:sz w:val="22"/>
                <w:szCs w:val="22"/>
                <w:u w:color="000000"/>
                <w:rtl w:val="0"/>
                <w:lang w:val="en-US"/>
              </w:rPr>
              <w:t xml:space="preserve"> &gt;10</w:t>
            </w:r>
          </w:p>
        </w:tc>
      </w:tr>
      <w:tr>
        <w:tblPrEx>
          <w:shd w:val="clear" w:color="auto" w:fill="ced7e7"/>
        </w:tblPrEx>
        <w:trPr>
          <w:trHeight w:val="333" w:hRule="atLeast"/>
        </w:trPr>
        <w:tc>
          <w:tcPr>
            <w:tcW w:type="dxa" w:w="382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Total</w:t>
            </w:r>
          </w:p>
        </w:tc>
        <w:tc>
          <w:tcPr>
            <w:tcW w:type="dxa" w:w="12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897</w:t>
            </w:r>
          </w:p>
        </w:tc>
        <w:tc>
          <w:tcPr>
            <w:tcW w:type="dxa" w:w="146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24</w:t>
            </w:r>
          </w:p>
        </w:tc>
        <w:tc>
          <w:tcPr>
            <w:tcW w:type="dxa" w:w="12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2833</w:t>
            </w:r>
          </w:p>
        </w:tc>
        <w:tc>
          <w:tcPr>
            <w:tcW w:type="dxa" w:w="146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76</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ICU mortality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52</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5.8</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1013</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35.8</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30-days mortality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127</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14.2</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1435</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50.7</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Male</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394</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43.9</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1538</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54.3</w:t>
            </w:r>
          </w:p>
        </w:tc>
      </w:tr>
      <w:tr>
        <w:tblPrEx>
          <w:shd w:val="clear" w:color="auto" w:fill="ced7e7"/>
        </w:tblPrEx>
        <w:trPr>
          <w:trHeight w:val="50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Intubation and mechanical ventilation</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66</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7.4</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1858</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65.6</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Vaso-active drugs</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161</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17.9</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1994</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70.4</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Non-invasive ventilation (NIV)</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229</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25.5</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755</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26.7</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Renal Replacement Therapy (RRT)</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1.6</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391</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13.8</w:t>
            </w:r>
          </w:p>
        </w:tc>
      </w:tr>
      <w:tr>
        <w:tblPrEx>
          <w:shd w:val="clear" w:color="auto" w:fill="ced7e7"/>
        </w:tblPrEx>
        <w:trPr>
          <w:trHeight w:val="31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left"/>
              <w:rPr>
                <w:rtl w:val="0"/>
              </w:rPr>
            </w:pPr>
            <w:r>
              <w:rPr>
                <w:rFonts w:ascii="Calibri" w:cs="Calibri" w:hAnsi="Calibri" w:eastAsia="Calibri"/>
                <w:sz w:val="22"/>
                <w:szCs w:val="22"/>
                <w:u w:color="000000"/>
                <w:rtl w:val="0"/>
                <w:lang w:val="en-US"/>
              </w:rPr>
              <w:t>Reason for ICU admission</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tc>
        <w:tc>
          <w:tcPr>
            <w:tcW w:type="dxa" w:w="1464"/>
            <w:tcBorders>
              <w:top w:val="nil"/>
              <w:left w:val="nil"/>
              <w:bottom w:val="nil"/>
              <w:right w:val="nil"/>
            </w:tcBorders>
            <w:shd w:val="clear" w:color="auto" w:fill="auto"/>
            <w:tcMar>
              <w:top w:type="dxa" w:w="80"/>
              <w:left w:type="dxa" w:w="80"/>
              <w:bottom w:type="dxa" w:w="80"/>
              <w:right w:type="dxa" w:w="80"/>
            </w:tcMar>
            <w:vAlign w:val="top"/>
          </w:tcPr>
          <w:p/>
        </w:tc>
        <w:tc>
          <w:tcPr>
            <w:tcW w:type="dxa" w:w="1239"/>
            <w:tcBorders>
              <w:top w:val="nil"/>
              <w:left w:val="nil"/>
              <w:bottom w:val="nil"/>
              <w:right w:val="nil"/>
            </w:tcBorders>
            <w:shd w:val="clear" w:color="auto" w:fill="auto"/>
            <w:tcMar>
              <w:top w:type="dxa" w:w="80"/>
              <w:left w:type="dxa" w:w="80"/>
              <w:bottom w:type="dxa" w:w="80"/>
              <w:right w:type="dxa" w:w="80"/>
            </w:tcMar>
            <w:vAlign w:val="top"/>
          </w:tcPr>
          <w:p/>
        </w:tc>
        <w:tc>
          <w:tcPr>
            <w:tcW w:type="dxa" w:w="146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Respiratory failure</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10</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1.1</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0.1</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Circulatory failure</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210</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23.4</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690</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24.4</w:t>
            </w:r>
          </w:p>
        </w:tc>
      </w:tr>
      <w:tr>
        <w:tblPrEx>
          <w:shd w:val="clear" w:color="auto" w:fill="ced7e7"/>
        </w:tblPrEx>
        <w:trPr>
          <w:trHeight w:val="50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 xml:space="preserve">Respiratory and circulatory failure </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121</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13.5</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416</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14.7</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Sepsis</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12</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1.3</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436</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15.4</w:t>
            </w:r>
          </w:p>
        </w:tc>
      </w:tr>
      <w:tr>
        <w:tblPrEx>
          <w:shd w:val="clear" w:color="auto" w:fill="ced7e7"/>
        </w:tblPrEx>
        <w:trPr>
          <w:trHeight w:val="50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Multi-trauma without head injury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61</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6.8</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419</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14.8</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Multi-trauma with head injury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15</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1.7</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40</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1.4</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Head injury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4</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0.4</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53</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1.9</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Intoxication</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18</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2.0</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92</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3.2</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Non-trauma</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32</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3.6</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261</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9.2</w:t>
            </w:r>
          </w:p>
        </w:tc>
      </w:tr>
      <w:tr>
        <w:tblPrEx>
          <w:shd w:val="clear" w:color="auto" w:fill="ced7e7"/>
        </w:tblPrEx>
        <w:trPr>
          <w:trHeight w:val="260" w:hRule="atLeast"/>
        </w:trPr>
        <w:tc>
          <w:tcPr>
            <w:tcW w:type="dxa" w:w="3828"/>
            <w:tcBorders>
              <w:top w:val="nil"/>
              <w:left w:val="nil"/>
              <w:bottom w:val="nil"/>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Emergency surgery</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153</w:t>
            </w:r>
          </w:p>
        </w:tc>
        <w:tc>
          <w:tcPr>
            <w:tcW w:type="dxa" w:w="1464"/>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17.1</w:t>
            </w:r>
          </w:p>
        </w:tc>
        <w:tc>
          <w:tcPr>
            <w:tcW w:type="dxa" w:w="1239"/>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226</w:t>
            </w:r>
          </w:p>
        </w:tc>
        <w:tc>
          <w:tcPr>
            <w:tcW w:type="dxa" w:w="1462"/>
            <w:tcBorders>
              <w:top w:val="nil"/>
              <w:left w:val="nil"/>
              <w:bottom w:val="nil"/>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8.0</w:t>
            </w:r>
          </w:p>
        </w:tc>
      </w:tr>
      <w:tr>
        <w:tblPrEx>
          <w:shd w:val="clear" w:color="auto" w:fill="ced7e7"/>
        </w:tblPrEx>
        <w:trPr>
          <w:trHeight w:val="307" w:hRule="atLeast"/>
        </w:trPr>
        <w:tc>
          <w:tcPr>
            <w:tcW w:type="dxa" w:w="3828"/>
            <w:tcBorders>
              <w:top w:val="nil"/>
              <w:left w:val="nil"/>
              <w:bottom w:val="single" w:color="000000" w:sz="6" w:space="0" w:shadow="0" w:frame="0"/>
              <w:right w:val="nil"/>
            </w:tcBorders>
            <w:shd w:val="clear" w:color="auto" w:fill="auto"/>
            <w:tcMar>
              <w:top w:type="dxa" w:w="80"/>
              <w:left w:type="dxa" w:w="264"/>
              <w:bottom w:type="dxa" w:w="80"/>
              <w:right w:type="dxa" w:w="80"/>
            </w:tcMar>
            <w:vAlign w:val="top"/>
          </w:tcPr>
          <w:p>
            <w:pPr>
              <w:pStyle w:val="Standaard"/>
              <w:suppressAutoHyphens w:val="1"/>
              <w:bidi w:val="0"/>
              <w:ind w:left="184" w:right="0" w:firstLine="142"/>
              <w:jc w:val="left"/>
              <w:rPr>
                <w:rtl w:val="0"/>
              </w:rPr>
            </w:pPr>
            <w:r>
              <w:rPr>
                <w:rFonts w:ascii="Calibri" w:cs="Calibri" w:hAnsi="Calibri" w:eastAsia="Calibri"/>
                <w:sz w:val="22"/>
                <w:szCs w:val="22"/>
                <w:u w:color="000000"/>
                <w:rtl w:val="0"/>
                <w:lang w:val="en-US"/>
              </w:rPr>
              <w:t>Other</w:t>
            </w:r>
          </w:p>
        </w:tc>
        <w:tc>
          <w:tcPr>
            <w:tcW w:type="dxa" w:w="123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261</w:t>
            </w:r>
          </w:p>
        </w:tc>
        <w:tc>
          <w:tcPr>
            <w:tcW w:type="dxa" w:w="146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29.1</w:t>
            </w:r>
          </w:p>
        </w:tc>
        <w:tc>
          <w:tcPr>
            <w:tcW w:type="dxa" w:w="123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197</w:t>
            </w:r>
          </w:p>
        </w:tc>
        <w:tc>
          <w:tcPr>
            <w:tcW w:type="dxa" w:w="146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Standaard"/>
              <w:suppressAutoHyphens w:val="1"/>
              <w:bidi w:val="0"/>
              <w:ind w:left="0" w:right="0" w:firstLine="0"/>
              <w:jc w:val="right"/>
              <w:rPr>
                <w:rtl w:val="0"/>
              </w:rPr>
            </w:pPr>
            <w:r>
              <w:rPr>
                <w:rFonts w:ascii="Trebuchet MS" w:hAnsi="Trebuchet MS"/>
                <w:sz w:val="20"/>
                <w:szCs w:val="20"/>
                <w:u w:color="000000"/>
                <w:rtl w:val="0"/>
                <w:lang w:val="en-US"/>
              </w:rPr>
              <w:t>7.0</w:t>
            </w:r>
          </w:p>
        </w:tc>
      </w:tr>
    </w:tbl>
    <w:p>
      <w:pPr>
        <w:pStyle w:val="Standaard"/>
        <w:widowControl w:val="0"/>
        <w:suppressAutoHyphens w:val="1"/>
        <w:bidi w:val="0"/>
        <w:ind w:left="108" w:right="0" w:hanging="108"/>
        <w:jc w:val="left"/>
        <w:rPr>
          <w:rFonts w:ascii="Calibri" w:cs="Calibri" w:hAnsi="Calibri" w:eastAsia="Calibri"/>
          <w:sz w:val="24"/>
          <w:szCs w:val="24"/>
          <w:u w:color="000000"/>
          <w:rtl w:val="0"/>
          <w:lang w:val="en-US"/>
        </w:rPr>
      </w:pPr>
    </w:p>
    <w:p>
      <w:pPr>
        <w:pStyle w:val="Standaard"/>
        <w:widowControl w:val="0"/>
        <w:suppressAutoHyphens w:val="1"/>
        <w:bidi w:val="0"/>
        <w:ind w:left="0" w:right="0" w:firstLine="0"/>
        <w:jc w:val="left"/>
        <w:rPr>
          <w:rFonts w:ascii="Calibri" w:cs="Calibri" w:hAnsi="Calibri" w:eastAsia="Calibri"/>
          <w:sz w:val="24"/>
          <w:szCs w:val="24"/>
          <w:u w:color="000000"/>
          <w:rtl w:val="0"/>
          <w:lang w:val="en-US"/>
        </w:rPr>
      </w:pPr>
    </w:p>
    <w:p>
      <w:pPr>
        <w:pStyle w:val="Standaard"/>
        <w:widowControl w:val="0"/>
        <w:suppressAutoHyphens w:val="1"/>
        <w:bidi w:val="0"/>
        <w:ind w:left="424" w:right="0" w:hanging="424"/>
        <w:jc w:val="left"/>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rebuchet MS" w:cs="Trebuchet MS" w:hAnsi="Trebuchet MS" w:eastAsia="Trebuchet MS"/>
          <w:b w:val="1"/>
          <w:bCs w:val="1"/>
          <w:u w:color="333333"/>
          <w:shd w:val="clear" w:color="auto" w:fill="ffffff"/>
          <w:lang w:val="en-US"/>
        </w:rPr>
      </w:pPr>
      <w:r>
        <w:rPr>
          <w:rFonts w:ascii="Trebuchet MS" w:hAnsi="Trebuchet MS"/>
          <w:b w:val="1"/>
          <w:bCs w:val="1"/>
          <w:sz w:val="24"/>
          <w:szCs w:val="24"/>
          <w:rtl w:val="0"/>
          <w:lang w:val="nl-NL"/>
        </w:rPr>
        <w:t xml:space="preserve">6. </w:t>
      </w:r>
      <w:r>
        <w:rPr>
          <w:rFonts w:ascii="Trebuchet MS" w:hAnsi="Trebuchet MS"/>
          <w:b w:val="1"/>
          <w:bCs w:val="1"/>
          <w:u w:color="333333"/>
          <w:shd w:val="clear" w:color="auto" w:fill="ffffff"/>
          <w:rtl w:val="0"/>
          <w:lang w:val="en-US"/>
        </w:rPr>
        <w:t xml:space="preserve">VIP1 study contributors: </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Ren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Schmutz, B5, Hospital of St. John of God Vienna , Austria; Franz Wimmer, Interne Intensiv, Kardinal Schwarzenberg</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sches Krankenhaus, Austria; Philipp Eller, Intensivstation der Univ.-Klinik f</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 Innere Medizin, Medical University Graz, Austria;</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cfcfc"/>
          <w:vertAlign w:val="baseline"/>
          <w:rtl w:val="0"/>
          <w:lang w:val="en-US"/>
        </w:rPr>
        <w:t xml:space="preserve"> Michael Joannidis, MICU, University Hospital Innsbruck, Austria</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Pieter De Buysscher, Department of Intensive Care, AZ Sint-Lucas Ghent, Belgium; Nikolaas De Neve, Department of Intensive Care, O.L.Vrouwhospital Aalst , Belgium; Sandra Oeyen, Department of Intensive Care, Ghent University Hospital, Belgium; Walter Swinnen, Department of Intensive Care Medicine, AZ Sint-Blasius Dendermonde , Belgium; Bernardo Bollen Pinto, Peri-interventional Intermidate Care (SINPI), Geneva University Hospitals, Switzerland; Paul Abraham, Adult Intensive Care (SIA), Geneva University Hospitals, Switzerland; Leila Hergafi, Service des Soins intensifs, H</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ô</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pital fribourgeois, Fribourg, Switzerland; Joerg C. Schefold, Universit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tsklinik f</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 Intensivmedizin, Inselspital, Bern University Hospital, University of Bern, Switzerland; Ewelina Biskup, Medical ICU, University Hospital Basel, Switzerland; Petr Piza, KARIP, IKEM, Czech Republic.; Ioannis Taliadoros, CY001, Nicosia General Hospital, Cyprus; Jesper Fj</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ø</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lner, ITA, Randers Regional Hospital, Denmark; Nilanjan Dey, Intensiv Herning, Regions Hospital Herning, Denmark; Christoffer 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ø</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lling, I-25, Regionshospital Viborg, Denmark; Bodil Steen Rasmussen, ICU, Aalborg University Hospital, Denmark; Steffen Christensen, OPI Ost, Aarhus University Hospital Skejby, Denmark; Xavier Forceville,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dico chirurgical, Centre Hospitalier de Meaux, France; Guillaume Besch,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partement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Anesth</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sie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Chirurgicale, Centre Hospitalier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gional Universtaire de Besan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ç</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on, France; Herve Mentec, Service de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Polyvalente, Centre Hospitalier Victor Dupouy Argenteuil, France; Philippe Michel,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dico-chirurgicale, CH Carnelle - Portes de 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Oise, France; Philippe Mateu,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Polyvalente, CH de Charleville-M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zi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è</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res, France; Philippe Michel,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dico-chirurgicale, CH Ren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Dubos, France; Lucie Vettoretti,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CHRU de Besan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ç</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on, France; Jeremy Bourenne, Reanimation des Urgences et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CHU Marseille - Timone, France; Nathalie MARIN, reanimation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hopital cochin, France; Max Guillot,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H</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ô</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pital de Hautepierre, France; Naida Aissaoui ,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hopital europ</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en georges pompidou, France; Cyril Goulenok ,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Hopital Priv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Jacques CARTIER, France; Nathalie Thieulot-Rolin , Intensive care medicine department, Hospital Marc Jacquet 77000 Melun, France; Jonathan Messika,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dico-Chirurgicale, Louis Mourier, France; Lionel Lamhaut, Polyvalente adult ICU, Necker (APHP), France; Bertrand Guidet,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animation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dicale, Saint Antoine, France; Cyril Charron, Medical-surgical ICU, University Hospital Ambroise Par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de Paris Boulogne-Billancourt, France, France; Alexander Lauten, 1) Department of Cardiology, 2) DZHK Berlin partner side, Charit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Universitaetsmedizin Berlin, Germany; Anna Lena Sacher, Department of Anesthesiology , Charit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Universitaetsmedizin Berlin, Germany; Thorsten Brenner, Department of Anesthesiology, Heidelberg University Hospital, Germany; Marcus Franz, Department of Internal Medicine, Jena University Hospital, Friedrich-Schiller University, Germany; Frank Bloos, Department of Anesthesiology, Jena University Hospital, Friedrich-Schiller University, Germany; Henning Ebelt, Department for Medicine II, Catholic Hospital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 Johann Nepomuk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Germany; Stefan J Schaller, Department of Anesthesiology, Klinikum rechts der Isar, Technical University of Munich, Munich, Germany; Kristina Fuest, Department of Anesthesiology, Klinikum rechts der Isar, Technical University of Munich, Munich, Germany, Germany; Christian Rabe, Department Of Clinical Toxicology, Klinikum rechts der Isar, Technical University of Munich, Munich, Germany, Germany; Thorben Dieck, Department of Anaesthesiology and Intensive Care, Medical School Hospital Hannover, Germany; Stephan Steiner, Department of Cardiology, Pneumology and Intensive Care, St. Vincenz Krankenhaus Limburg, Germany; Tobias Graf, Department of Cardiology, University Heart Center Luebeck, Germany; Amir M Nia, Division of Cardiology and Intensive Care, University Hospital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sseldorf, Heinrich-Heine University, Germany; Christian Jung, Division of Cardiology and Intensive Care, University Hospital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sseldorf, Heinrich-Heine University, Germany; Rolf Alexander Janosi, Department of Cardiology and Vascular Diseases, University Hospital Essen, Germany; Patrick Meybohm of the Department of Anaesthesiology, Intensive Care Medicine and Pain Therapy, Frankfurt University Hospital, Frankfurt, Germany; Philipp Simon, Department of Anaesthesiology and ICM, University Hospital of Leipzig, Germany; Stefan Utzolino, Department of General and Visceral Surgery , Universit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tsklinikum Freiburg, Germany; Tim Rahmel, Department of Anaesthesiology, Intensive Care Medicine, University Hospital Knappschaftskrankenhaus Bochum, Germany; Eberhard Barth, Department of Anaesthesiology, University of Ulm, Germany; Christian Jung, University Hospital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sseldorf, Heinrich-Heine-University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sseldorf, Medical Faculty, Division of Cardiology, Pulmonology and Vascular Medicine,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sseldorf, Germany, Germany; Michael Schuster, Department of Anaesthesiology, University Hospital Mainz, Germany; Zoi Aidoni , ICU, UGHT AHEPA, Greece; Stavros Aloizos , ICU , Army Share Fund Hospital, Athens, Greece; Polychronis Tasioudis , ICU, G. Gennimatas hospital of Thessaloniki, Greece; Kleri Lampiri , ICU, General Hospital Of Kavala, Greece; Vasiliki Zisopoulou, ICU1, General Hospital Of Larissa, Greece; Ifigenia Ravani , ICU, General hospital of Patras, Greece; Eumorfia Pagaki , ICU, General hospital of Trikala, Greece; Angela Antoniou , ICU, Volos General Hospital, Greece; Theodoros A. Katsoulas, ICU,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Ag Anargyroi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General Hospital, Greece; Aikaterini Kounougeri , ICU , Konstantopouleion General Hospital, Athens, Greece; George Marinakis, ICU,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Korgialenio-Benakio</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G. Hospital of Athens, Greece; Fotios Tsimpoukas, ICU, Lamia General Hospital, Greece; Anastasia Spyropoulou, ICU, Panarkadian General Hospital of Tripolis, Greece; Paris Zygoulis, General ICU, University hospital of Larisa, Greece; Aikaterini Kyparissi , ICU,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HIPPOCRATEIO</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General Hospital of Athens , Greece; Manish Gupta , MICU, MAX SUPER SPECIALTY HOSPITAL , Vaishali , India; Mohan Gurjar, Department of Critical Care Medicine, Sanjay Gandhi Postgraduate Institute of Medical Sciences , India; Ismail M Maji , MICU, St Johns Medical Colleg Hospital, Bangaluri, India; Ivan Hayes, CUH GICU, Cork University Hospital, Ireland; Brian Marsh, Department of Critical Care Medicine, Mater Misericordiae University Hospital, Ireland; Yvelynne Kelly, General ICU, St. Jamess Hospital, Ireland; Andrew Westbrook, ICU, St. Vincents University Hospital, Ireland; Gerry Fitzpatrick, Tallaght intensive Care, Tallaght Hospital, Ireland; Darshana Maheshwari, UHG ICU, University hospital galway, Ireland; Catherine Motherway, ICU, University Hospital limerick, Ireland; Giovanni Negri, Rianimazione, A.S.S.T. Ovest Milanese - Presidio Di Magenta - Ospedale G. Fornaroli (Magenta), Italy; Savino Spadaro,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 Terapia Intensiva del Servizio di Anestesia , Azienda Ospedaliera Universitaria Sant Anna (Ferrara), Italy; Giuseppe Nattino, Rianimazione generale, ASST Lecco - Ospedale A.Manzoni (Lecco), Italy; Matteo Pedeferri, Rianimazione, AO della Provincia di Lecco - Presidio Ospedaliero S.Leopoldo Mandic, Merate , Italy; Annalisa Boscolo, Giustiniani I e II (Istar), Azienda Ospedaliera di Padova (Padova), Italy; Simona Rossi, Servizio Anestesia Rianimazione, Azienda Ospedaliera G.Salvini - Presidio Ospedaliero di Rho , Italy; Giuseppe Calicchio, Centro di Rianimazione, Azienda Ospedaliera Universitaria San Giovanni di Dio e Ruggi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Aragona , Italy; Lucia Cubattoli, Rianimazione Generale , Azienda Ospedaliera Universitaria Senese (Siena), Italy; Gabriella Di Lascio, Terapia Intensiva di Emergenza, Azienda Ospedaliero Universitaria Careggi (Firenze), Italy; Maria Barbagallo, UO 2 Anestesia Rianimazione Terapia Intensiva, Azienda Ospedaliero-Universitaria di Parma (Parma), Italy; Francesco Berruto, rianimazione, Ospedale E. Agnelli (Pinerolo), Italy; Daniela Codazzi,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Terapia Intensiva, Fondazione IRCCS Istituto Nazionale dei Tumori (Milano), Italy; Andrea Bottazzi, Rianimazione 2, Fondazione IRCCS Policlinico S.Matteo (Pavia), Italy; Paolo Fumagalli, Rianimazione 1, Fondazione Policlinico San Matteo (Pavia), Italy; Giancarlo Negro, Anestesia e Rianimazione 1, Ospedale Francesco Ferrari (Casarano), Italy; Giuseppe Lupi, Servizio Anestesia e Rianimazione, Ospedale Maggiore (Cremona), Italy; Flavia Savelli, Anestesia e Rianimazione - TI 2, Ospedale Maurizio Bufalini (Cesena), Italy; Giuseppe A. Vulcano, Terapia Intensiva, Ospedale Civile Nicola Giannettasio (Rossano), Italy; Roberto Fumagalli, Anestesia e Rianimazione 1, Ospedale Niguarda Ca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Granda (Milano), Italy; Andrea Marudi, Rianimazione Neurorianimazione, Nuovo Ospedale Civile Sant Agostino Estense (Modena), Italy; Ugo Lefons, Terapia intensiva, Ospedale Alta Val 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Elsa (Poggibonsi), Italy; Rita Lembo, Rianimazione generale, Ospedale Castelli di Verbania (Verbania), Italy; Maria Babini, Servizio Anestesia e Rianimazione, Ospedale Civile Lugo (Lugo), Italy; Alessandra Paggioro, Struttura Semplice di Rianimazione e Terapia Intensiva, Ospedale degli Infermi di Biella - ASL BI (Biella), Italy; Vieri Parrini, Anestesia e Rianimazione, Ospedale del Mugello (Borgo San Lorenzo), Italy; Maria Zaccaria, Rianimazione e Terapia Intensiva, Ospedale di Ciri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è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(Torino), Italy; Stefano Clementi, terapia intensiva polivalente, Ospedale di Sesto San Giovanni (Sesto San Giovanni), Italy; Carmelo Gigliuto, Rianimazione, Ospedale di Vigevano - Azienda Ospedaliera della Provincia di Pavia (Vigevano), Italy; Francesca Facondini, Reparto di Rianimazione e Terapia Intensiva, Ospedale Infermi (Rimini), Italy; Simonetta Pastorini, Servizio Anestesia-Rianimazione , Ospedale P. Cosma-AUSL 15 Alta padovana (Camposampiero), Italy; Susanna Munaron,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 Terapia Intensiva, Ospedale San Giacomo (Castelfranco Veneto), Italy; Italo Calamai, Rianimazione, Ospedale San Giuseppe (Empoli), Italy; Anna Bocchi, Terapia Intensiva, Ospedale San Luca (Trecenta), Italy; Adele Adorni,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 Terapia Intensiva Rianimatoria, Ospedale Valduce (Como), Italy; Maria Grazia Bocci, Centro di Rianimazione, Policlinico Agostino Gemelli (Roma), Italy; Andrea Cortegiani,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 Terapia Intensiva Polivalente, Policlinico P. Giaccone. University of Palermo, Italy; Tiziana Casalicchio, Terapia Intensiva, Ospedale San Giovanni Bosco (Torino), Italy; Serena Mellea,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 Terapia Intensiva, Ospedale Santa Maria della Misericordia (Perugia), Italy; Elia Graziani, Unit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à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Operativa Anestesia e Rianimazione, Santa Maria delle Croci (Ravenna), Italy; Massimo Barattini, Rianimazione, Ospedale Santa Maria Nuova (Firenze), Italy; Elisabetta Brizio, Servizio di Rianimazione, Ospedale SS Annunziata, Italy; Maurizio Rossi, UO Anestesia e Rianimazione, Azienda Ospedaliera Sant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Anna Como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Presidio di Menaggio, Italy; Michael Hahn, ICU, Haugesund hospital, Norway; Hans Flaatten, General ICU, Haukeland University Hospital, Norway; Nicolai Kemmerer, ICU, Kongsberg hospital, Norway; Hans Frank Strietzel, ICU, Kristiansund Hospital, Norway; Knut Dybwik, ICU, Nordlandssykehuset Bodo, Norway; Terje Legernaes, ICU , Hamar hospital, Norway; P</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l Klepstad, Dept Intensive Care Medicine, St Olavs University Hospital, Norway; Even Braut Olaussen, ICU, Stavanger University Hospital, Norway; Knut Inge Olsen, ICU, Namsos Hospital, Norway; Ole Marius Brresen, ICU, Telemark Hospital, Skien, Norway; Geir Bjorsvik, ICU , University Hospital Tromso, Norway; Finn H. Andersen, ICU,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lesund hospital, Norway; Sameer Maini, Medical ICU, Aalesund Hospital, Norway; Lutz Fehrle, ICU, Molde hospital, Norway; Miroslaw Czuczwar, ICU, First Public Teaching Hospital in Lublin, Poland; Pawel Krawczyk, ICU, University Hospital in Krakow, Poland; Miros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aw Zi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ę</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tkiewicz, Respiratory and Thoracic Surgical ICU, John Paul II Hospital in Krakow, Poland;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ukasz R. Nowak, Department of Anaesthesiology and Intensive Care, Maria Sklodowska-Curie Memorial Institute of Oncology Krakow Branch, Poland; Katarzyna Kotfis, Department of Anaesthesia, Intensive Care and Acute Poisonings, Pomeranian Medical University, Teaching Hospital No.2, Poland; Katarzyna Cwyl, ICU, RCZ in Lublin, Poland; Ryszard Gajdosz, Department of Anaesthesiology and Intensive Care, Scanmed St. Raphael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Jowita Biernawska, Department of Anaesthesiology and Intensive Care, Pomeranian Medical University, Teaching Hospital No. 1, Poland; Romuald Bohatyrewicz, Department of Anaesthesiology and Intensive Care, Pomeranian Medical University, Teaching Hospital No. 1, Poland; Ryszard Gawda, Department of Anaesthesiology and Intensive Care, University Hospital in Opole, Poland; Pawe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ł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Grudzie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ICU, Edward Szczeklik Specialist Hospital in Tarn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Pawe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ł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Nasi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owski, Department of Anaesthesiology and Intensive Care, Gabriel Narutowicz Specialist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w, Poland; Natalia Popek, Department of Anaesthesiology and Intensive Care, Stefan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eromski Specialist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Waldemar Cyrankiewicz, Department of Anaesthesiology and Intensive Care, Antoni Jurasz University Hospital No. 1 in Bydgoszcz, Poland; Katarzyna Wawrzyniak, Department of Anaesthesiology and Intensive Care, Antoni Jurasz University Hospital No. 1 in Bydgoszcz, Poland; Marek Wnuk, Department of Anaesthesiology and Intensive Care, John Paul II Memorial Hospital in Be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chat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Dariusz Maciejewski, Department of Anaesthesiology and Intensive Care, Provincial hospital in Bielsko-Bia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 Poland; Dorota Studzi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ska, Department of Anaesthesiology and Intensive Care, St. John Grande Hospital, Poland; Maciej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Ż</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ukowski, Department of Anaesthesiology, Intensive Care and Acute Poisoning, Pomeranian Medical University, Teaching Hospital No. 2 in Szczecin, Poland; Szymon Bernas, Department of Anaesthesiology and Intensive Therapy Centre for Artificial Extracorporeal Kidney and Liver Support, Dr W</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adys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aw Biega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ski Regional Specialist Hospital in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ź</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Poland; Mariusz Piechota, Department of Anaesthesiology and Intensive Therapy Centre for Artificial Extracorporeal Kidney and Liver Support, Dr W</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adys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aw Biega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ski Regional Specialist Hospital in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ź</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Poland; Centre for Artificial Extracorporeal Kidney and Liver Support, Poland; Wojciech Szczeklik, Department of Intensive Care and Perioperative Medicine, University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Ilona Nowak, Department of Intensive Care and Perioperative Medicine, University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w, Poland; Jakub Fronczek, Department of Intensive Care and Perioperative Medicine, University Hospital in Krak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w, Poland; Marta Serwa, Department of Anaesthesiology and Intensive Care, University Hospital and Educational Centre of the Medical University of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ź</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Poland; Waldemar Macha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a, Department of Anaesthesiology and Intensive Care, University Hospital and Educational Centre of the Medical University of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ź</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Poland; Jan Stefaniak, Department of Anaesthesiology and Intensive Care, University Clinical Centre in Gda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sk, Poland; Maria Wujtewicz, Department of Anaesthesiology and Intensive Care, University Clinical Centre in Gda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ń</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sk, Poland; Pawe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ł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Maciejewski, Department of Anaesthesiology and Intensive Care, Orthopedic-Rehabilitation University Hospital in Zakopane, Poland; Ma</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gorzata Szymkowiak, Department of Anaesthesiology and Intensive Care, J</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zef Stru</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ś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Hospital in Poznan, Poland; Barbara Adamik, Department of Anaesthesiology and Intensive Care, Wroc</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ł</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aw University Hospital, Poland; Nuno Catorze, UCIP, C. H.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dio TEJO, Portugal; Miguel Castelo Branco, Unidade de Cuidados Intensivos, Centro Hospitalar Cova da Beira, EPE, Portugal; In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ê</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Barros, Unidade de Cuidados Intensivos Polivalente, Centro Hospitalar Tondela-Viseu, Portugal; Nelson Barros, Servi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ç</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Medicina Intensiva, Centro Hospitalar Tr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á</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s-os-Montes e Alto Douro, Portugal; Andriy Krystopchuk, Intensive Care and Emergency Department, Centro Hospitalar do Algarve-Hospital de Faro, Portugal; Teresa Honrado, Unidade Cuidados INtensivos Polivalente, Hospital de 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ã</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Jo</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ã</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Portugal; Cristina Sousa, UCI, Hospital da Luz, Portugal; Francisco Munoz, UMI, Hospital do SAMS, Portugal; Marta Rebelo, UCIP, Hospital de Egas Moniz, Portugal; Rui Gomes, UCI, Hospital Garcia de Orta, Portugal; Jorge Nunes, Unidade de Cuidados Intensivos, Hospital Lusiadas Lisboa, Portugal; celeste dias, Neurocritical ICU, Hospital de 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ã</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Jo</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ã</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Portugal; Ana Margarida Fernandes, UCI Neurocr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í</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ticos, Hospital S. Jos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é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CHLC EPE, Portugal; Cristina Petrisor, Anaesthesia and Intensive Care 1, Clinical Emergency County Hospital Cluj, Portugal; Bodolea Constantin, ATI, Municipal Hospital, Portugal; Vladislav Belskiy, Department of Anesthesiology and Intensive Care, Privolzhskiy District Medical Center, Russia; Boris Boskholov, Dept of intensive care, Zhadkevich Clinical Hospital, Russia; Enver Rodriguez, UCI , General Universitario de Castell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 Spain; Sergio Rebollo, ICU, HGU Santa Lucia,Cartagena, Murcia, Spain; Gerardo Aguilar, Unidad de Reanimaci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 - Surgical ICU, Hospital Cl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í</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nico Universitario de Valencia, Spain; Gaspar Masdeu, Servei Medicina Intensiva, Hospital de Tortosa Verge de la Cinta, Spain; Mari</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á</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 Iraz</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á</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bal Jaimes, Critical Care Unit, Hospital General de Catalunya, Spain;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Á</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ngela Prado Mira, Medicina Intensiva, Hospital General Universitario de Albacete, Spain; Maria A. Bodi, General ICU, Hospital Universitari de Tarragona Joan XXIII, Spain; Jesus A. Barea Mendoza, Servicio de Medicina Intensiva, Hospital Universitario 12 de Octubre, Spain; Sonia 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ó</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pez-Cuenca, Servicio de Medicina Intensiva y Grandes Quemados, Hospital Universitario de Getafe, Spain; Marcela Homez Guzman, ICU, Hospital Universitario del Henares, Spain; Jes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ú</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Rico-Feijoo, Postoperative Critical Care Unit and Reanimation, Hospital Universitario 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í</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o Hortega de Valladolid, Spain; Mercedes Ibarz , ICU Hospital Universitario Sagrado Corazon, Hospital Universitario Sagrado Corazon. Barcelona, Spain; Josep Trenado Alvarez , Intensive Care Department. UCI-Semicritics, Hospital Universitario Mutua Terassa, Spain; Rafael Kawati, central ICU, Akademiska sjukhuset, Sweeden; Joakim Sivik, IVA Alings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Lasarett, Alings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Lasarett, Sweeden; Jessica Nauska, Intensivv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rdsavdelning 31, Blekingesjukhuset Karlskrona, Sweeden; Daniel Smole, IVA, Centralsjukhuset i Karlstad, Sweeden; Fredric Parenmark, IVA, G</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vle sjukhus, Sweeden; Johanna Lyr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 Intensivv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rdsavdelning, Hudiksvalls sjukhus, G</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vleborg, Hudiksvalls sjukhus, Sweeden; Katalin Rockstroh, IVA, Kalmar 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nssjukhus, Sweeden; Sara Ryd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é</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 Karolinska ICU Huddinge, Karolinska University Hospital Huddinge, Sweeden; Martin Sp</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ngfors, Intensiven, Kristianstad, Sweeden; Morten Strinnholm, ICU Kung</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lvs Hospital, Kung</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lvs hospital, Sweeden; Sten Walther, Cardiothoracic ICU, Link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ping University Hospital, Sweeden; Lina De Geer, ICU, Link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ping University Hospital, Sweeden; Peter Nordlund, OP/IVA Kliniken, 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nssjukhuset Ryhov, Sweeden; Staffan P</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lsson, Intensivv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rdsavdelningen, Norrt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lje, Sweeden; Harald Zetterquist, IVA, Nykopings lasarett, Sweeden; Annika Nilsson, IVA, Ornskoldsvik, Ornskoldsviks hospital, Sweeden; Karin Thiringer, avdelning 227, IVA, Sahlgrenska University Hospital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lndal, Sweeden; 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rten Jungner, ICU SUS Malm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Skane University Hospital, Sweeden; Bj</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rn Bark, IVA Lund, Sk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ne University Hospital, Sweeden; Berit Nordling, IVA Sundsvall, Sundsvall, Sweeden; Hans Sk</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ld, ICU, Torsby Sjukhus, Sweeden; Camilla Brorsson, CIP, University Hospital Northern Sweden, Sweeden; Stefan Persson, Intensivv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rsdavdelningen US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 xml:space="preserve">, University hospital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rebro, Sweeden; Anna Bergstr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m, IVA Vrinnevisjukhuset, Vrinnevi hospital, Sweeden; Johan Berkius, IVA 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stervikssjukhus, 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stervikssjukhus, Sweeden; Johanna Holmstr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ö</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m, Intensivv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rdsavdelningen 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ster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stmanlands sjukhus, V</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ä</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ster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å</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333333"/>
          <w:shd w:val="clear" w:color="auto" w:fill="ffffff"/>
          <w:vertAlign w:val="baseline"/>
          <w:rtl w:val="0"/>
          <w:lang w:val="en-US"/>
        </w:rPr>
        <w:t>s, Sweeden; I. van Dijk, Intensive Care , Alrijne Ziekenhuis, The Netherlands; L.E.M. van Lelyveld-Haas, Intensive Care, Diakonessenhuis Utrecht, The Netherlands; D.Ramnarain, Intensive Care, Elisabeth Tweesteden Hospital Tilburg, The Netherlands; Tim Jansen, Intensive Care , HagaZiekenhuis, The Netherlands; Fleur Nooteboom, IC LZR, Laurentius Ziekenhuis, The Netherlands; Peter HJ van der Voort, ICU OLVG, OLVG, The Netherlands; Dylan de Lange, Department of Intensive Care Medicine, UMC Utrecht, The Netherlands; Willem Dieperink, Department of Critical Care, University Medical Center Groningen, The Netherlands; Monique C. de Waard, Intensive Care Adults, VU University Medical Center Amsterdam, The Netherlands; Annemarie GE de Smet, Intensive Care Unit, University Medical Centre, University of Groningen, The Netherlands; Laura Bormans, Intensive Care, Zuyderland Medical Centrer, Heerlen, The Netherlands; Tom Dormans, Intensive Care, Zuyderland Medical Center, Heerlen, The Netherlands; Ged Dempsey, Critical Care Unit, Aintree University Hospital NHS Foundation Trust, UK; Shiju J Mathew, ICU, Alexandra Hospital, UK; Ashok S Raj, ICU, Barts Health NHS Trust, Whipps Cross Hospital, UK; Irina Grecu, ITU/HDU, Basingstoke and North Hampshire Hospital, UK; Jason Cupitt, Critical Care Unit, Blackpool Teaching Hospitals NHS Foundation Trust, UK; Tom Lawton, Critical Care Unit, Bradford Royal Infirmary, UK; Richard Clark, ICU, Central Manchester Foundation Trust, UK; Monica Popescu, ICU, Chelsea and Westminster Foundation Trust, West Middlesex University Hospital, UK; Nick Spittle, ICU, Chesterfield Royal Hospital, UK; Maria Faulkner, ICU, Countess of Chester Hospital NHS Foundation Trust, UK; Amanda Cowton, ICU, Darlington memorial Hospital (CDDFT), UK; Esme Elloway, ICU, Derriford Hospital, UK; Patricia Williams, Critical Care Unit, Dorset County Hospital, UK; Michael Reay, Critical Care Unit , Dudley Group of Hospitals NHSFT, Russells Hall Hospital, UK; Srikanth Chukkambotla, Critical Care Unit, East Lancashire Hospitals NHS Trust, UK; Ravi Kumar , CCU, East Surrey Hospital , UK; Nawaf Al-Subaie, ICU, Espsom and St Helier University Hospitals, UK; Linda Kent, Critical Care Unit, Fairfield General Hospital, UK; Tiina Tamm, ICU, Frimley Health, Wexham Park Hospital, UK; Istvan Kajtor, ICU, Frimley Park Hospital, UK; Karen Burns, ICU, Furness General, UK; Richard Pugh, Critical Care Unit, Glan Clwyd Hospital, UK; Marlies Ostermann, ICU, Guys and St Thomas Hospital, UK; Elisa Kam, ICU, Hillingdon Hospital, UK; Helen Bowyer, Critical Care Centre, Hinchingbrooke Healthcare NHS Trust, UK; Neil Smith, HICU 1&amp;2, Hull Royal Infirmary, UK; Maie Templeton, Critical Care UNIT, Imperial College Healthcare NHS Trust, UK; Jeremy Henning, ICU2&amp;3, James Cook Univeristy Hospital, UK; Kelly Goffin, ICU, James Paget University Hospital, UK; Ritoo Kapoor, K&amp;C ITU, Kent and Canterbury Hospital, UK; Shondipon Laha, CrCU, Lancashire Teaching Hospitals NHS Foundation Trust, UK; Phil Chilton, Critical Care Unit, Leighton Hospital, UK; Waqas Khaliq, ITU/HDU, Lewisham and Greenwich NHS Trust, UK; Alison Crayford, ITU/HDU, Maidstone, UK; Samantha Coetzee, ICU, Medway NHS Foundation Trust, UK; Moira Tait, Adult ICU, Musgrove Park, UK; Wendy Stoker, ICU, Northumbria Specialist Emergency Care Hospital, UK; Marc Gimenez, ICU, Papworth Hospital NHS Foundation Trust, UK; Alan Pope, Critical Care Unit, Peterborough City Hospital, UK; Julie Camsooksai, Critical Care Unit , Poole Hospital NHS Trust, UK; David Pogson, Department of Critical Care, Queen Alexandra Hospital Portsmouth, UK; Kate Quigley, ICU, Queen Elizabeth Hospital, UK; Jenny Ritzema, Critical Care Department, Queen Elizabeth Hospital, Gateshead, UK; Anil Hormis, Critical Care Unit, Rotherham NHS Foundation Trust, UK; Carole Boulanger , ICU, Royal Devon and Exeter NHS Foundation Trust, UK; M. Balasubramaniam , ICU and HCU, Royal Bolton NHS hospital trust, UK; Luke Vamplew, Critical Care Unit, Royal Bournemouth Hospital, UK; Karen Burt, Critical Care Unit, Royal Cornwall Hospital NHS Trust, UK; Daniel Martin, ICU, Royal Free London NHS Foundation Trust, UK; Irina Grecu, ICU, Royal Hampshire County Hospital, UK; Jayne Craig, ICU, Royal Lancaster Infirmary, UK; John Prowle, Adult Critical Care Unit, Royal London Hospital, UK; Nanci Doyle, ICU, Royal Surrey County Hospital, UK; Jonathon Shelton , Ward 38 ICU, Royal Victoria Infirmary, UK; Carmen Scott, Ward 18 ICU, Royal Victoria Infirmary, UK; Phil Donnison, ICU, Salisbury District Hospital, UK; Sarah Shelton , ICU, Sherwood Forest Hospitals NHS Foundation Trust, UK; Christian Frey, ITU/HDU, South Tyneside District Hospital, UK; Christine Ryan, GICU, St Georges Hospital, UK; Dominic Spray, Cardiothoracic ICU, St Georges Hospital, UK; Christine Ryan, Acute Dependency Unit, St Georges Hospital NHS Trust London, UK; Veronica Barnes, Neuro ICU, St Georges University Hospital NHS Foundation Trust, UK; Kerry Barnes, ITU, st helier hospital, UK; Stephanie Ridgway, Critical Care Unit, NHS Foundation Trust, Tameside General Hospital, UK; Rajnish Saha, Critical Care Unit, The Princess Alexandra NHS Hospital, UK; Linda Kent, ICU, The Royal Oldham Hospital, UK; Thomas Clark, ICU, Torbay Hospital, UK; James Wood, ICU, Tunbridge Wells Hospital, UK; Clare Bolger, General Intensive Care, Univeristy Hospital Southampton NHS Foundation Trust, UK; Christopher Bassford, General Critical Care, University Hospital Coventry, UK; Amanda Cowton, ICU, University hospital of North Durham, UK; john lewandowski, Critical Care Unit, University Hospital of North Tees, UK; Xiaobei Zhao, ICU (Level 6), Watford General Hospital / West Hertfortshire NHS trust, UK; Sally Humphreys, Critical Care, West Suffolk NHS Foundation Trust, UK; Susan Dowling, Ward 4E Critical Care unit, Whiston, UK; Neil Richardson, ICU, William Harvey Hospital, Ashford, UK; Andrew Burtenshaw, Critical Care Unit, Worcestershire Royal Hospital, UK; Carl Stevenson, ICU, Wye Valley NHS Trust, UK; Danielle Wilcock, Critical Care Unit, York Teaching Hospital NHS Foundation Trust, UK; Yuiry Nalapko, Anaesthesia and Intensive Care, Lugansk State Medical University, Ukraine.</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820"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Genummerd">
    <w:name w:val="Genummerd"/>
    <w:pPr>
      <w:numPr>
        <w:numId w:val="1"/>
      </w:numPr>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