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B8693" w14:textId="4B702ABE" w:rsidR="00753290" w:rsidRPr="001B4C86" w:rsidRDefault="0075530F" w:rsidP="0094003E">
      <w:pPr>
        <w:jc w:val="center"/>
        <w:rPr>
          <w:b/>
          <w:sz w:val="28"/>
          <w:szCs w:val="28"/>
        </w:rPr>
      </w:pPr>
      <w:bookmarkStart w:id="0" w:name="_Hlk506825733"/>
      <w:bookmarkStart w:id="1" w:name="_Hlk492907781"/>
      <w:proofErr w:type="gramStart"/>
      <w:r w:rsidRPr="001B4C86">
        <w:rPr>
          <w:rFonts w:ascii="Arial" w:hAnsi="Arial" w:cs="Arial"/>
          <w:b/>
          <w:sz w:val="28"/>
          <w:szCs w:val="28"/>
        </w:rPr>
        <w:t>One year</w:t>
      </w:r>
      <w:proofErr w:type="gramEnd"/>
      <w:r w:rsidRPr="001B4C86">
        <w:rPr>
          <w:rFonts w:ascii="Arial" w:hAnsi="Arial" w:cs="Arial"/>
          <w:b/>
          <w:sz w:val="28"/>
          <w:szCs w:val="28"/>
        </w:rPr>
        <w:t xml:space="preserve"> </w:t>
      </w:r>
      <w:r w:rsidR="0094234D" w:rsidRPr="001B4C86">
        <w:rPr>
          <w:rFonts w:ascii="Arial" w:hAnsi="Arial" w:cs="Arial"/>
          <w:b/>
          <w:sz w:val="28"/>
          <w:szCs w:val="28"/>
        </w:rPr>
        <w:t xml:space="preserve">mortality </w:t>
      </w:r>
      <w:r w:rsidRPr="001B4C86">
        <w:rPr>
          <w:rFonts w:ascii="Arial" w:hAnsi="Arial" w:cs="Arial"/>
          <w:b/>
          <w:sz w:val="28"/>
          <w:szCs w:val="28"/>
        </w:rPr>
        <w:t>outcomes from the ACTA trial</w:t>
      </w:r>
      <w:r w:rsidR="0043674A" w:rsidRPr="001B4C86">
        <w:rPr>
          <w:rFonts w:ascii="Arial" w:hAnsi="Arial" w:cs="Arial"/>
          <w:b/>
          <w:sz w:val="28"/>
          <w:szCs w:val="28"/>
        </w:rPr>
        <w:t xml:space="preserve"> of cryptococcal meningitis treatment</w:t>
      </w:r>
      <w:r w:rsidRPr="001B4C86">
        <w:rPr>
          <w:rFonts w:ascii="Arial" w:hAnsi="Arial" w:cs="Arial"/>
          <w:b/>
          <w:sz w:val="28"/>
          <w:szCs w:val="28"/>
        </w:rPr>
        <w:t xml:space="preserve"> in Malawi</w:t>
      </w:r>
      <w:r w:rsidR="0000562E" w:rsidRPr="001B4C86">
        <w:rPr>
          <w:rFonts w:ascii="Arial" w:hAnsi="Arial" w:cs="Arial"/>
          <w:b/>
          <w:sz w:val="28"/>
          <w:szCs w:val="28"/>
        </w:rPr>
        <w:t xml:space="preserve"> </w:t>
      </w:r>
    </w:p>
    <w:p w14:paraId="70C91B88" w14:textId="52F6B400" w:rsidR="006A2DB6" w:rsidRPr="001B4C86" w:rsidRDefault="0075530F" w:rsidP="002D6135">
      <w:pPr>
        <w:widowControl w:val="0"/>
        <w:autoSpaceDE w:val="0"/>
        <w:autoSpaceDN w:val="0"/>
        <w:adjustRightInd w:val="0"/>
        <w:spacing w:after="0" w:line="240" w:lineRule="auto"/>
        <w:rPr>
          <w:rFonts w:ascii="Arial" w:hAnsi="Arial" w:cs="Arial"/>
          <w:sz w:val="24"/>
          <w:szCs w:val="24"/>
        </w:rPr>
      </w:pPr>
      <w:bookmarkStart w:id="2" w:name="_Hlk506825759"/>
      <w:bookmarkEnd w:id="0"/>
      <w:r w:rsidRPr="001B4C86">
        <w:rPr>
          <w:rFonts w:ascii="Arial" w:hAnsi="Arial" w:cs="Arial"/>
          <w:sz w:val="24"/>
          <w:szCs w:val="24"/>
        </w:rPr>
        <w:t>Cecilia Kanyama</w:t>
      </w:r>
      <w:r w:rsidRPr="001B4C86">
        <w:rPr>
          <w:rFonts w:ascii="Arial" w:hAnsi="Arial" w:cs="Arial"/>
          <w:sz w:val="24"/>
          <w:szCs w:val="24"/>
          <w:vertAlign w:val="superscript"/>
        </w:rPr>
        <w:t>1</w:t>
      </w:r>
      <w:r w:rsidR="001C79FC" w:rsidRPr="001B4C86">
        <w:rPr>
          <w:rFonts w:ascii="Arial" w:hAnsi="Arial" w:cs="Arial"/>
          <w:sz w:val="24"/>
          <w:szCs w:val="24"/>
          <w:vertAlign w:val="superscript"/>
        </w:rPr>
        <w:t>*</w:t>
      </w:r>
      <w:r w:rsidR="009D0B74" w:rsidRPr="001B4C86">
        <w:rPr>
          <w:rFonts w:ascii="Arial" w:hAnsi="Arial" w:cs="Arial"/>
          <w:sz w:val="24"/>
          <w:szCs w:val="24"/>
        </w:rPr>
        <w:t xml:space="preserve">, </w:t>
      </w:r>
      <w:proofErr w:type="spellStart"/>
      <w:r w:rsidRPr="001B4C86">
        <w:rPr>
          <w:rFonts w:ascii="Arial" w:hAnsi="Arial" w:cs="Arial"/>
          <w:sz w:val="24"/>
          <w:szCs w:val="24"/>
        </w:rPr>
        <w:t>Síle</w:t>
      </w:r>
      <w:proofErr w:type="spellEnd"/>
      <w:r w:rsidRPr="001B4C86">
        <w:rPr>
          <w:rFonts w:ascii="Arial" w:hAnsi="Arial" w:cs="Arial"/>
          <w:sz w:val="24"/>
          <w:szCs w:val="24"/>
        </w:rPr>
        <w:t xml:space="preserve"> F Molloy</w:t>
      </w:r>
      <w:r w:rsidRPr="001B4C86">
        <w:rPr>
          <w:rFonts w:ascii="Arial" w:hAnsi="Arial" w:cs="Arial"/>
          <w:sz w:val="24"/>
          <w:szCs w:val="24"/>
          <w:vertAlign w:val="superscript"/>
        </w:rPr>
        <w:t>2</w:t>
      </w:r>
      <w:r w:rsidR="001C79FC" w:rsidRPr="001B4C86">
        <w:rPr>
          <w:rFonts w:ascii="Arial" w:hAnsi="Arial" w:cs="Arial"/>
          <w:sz w:val="24"/>
          <w:szCs w:val="24"/>
          <w:vertAlign w:val="superscript"/>
        </w:rPr>
        <w:t>*</w:t>
      </w:r>
      <w:r w:rsidR="0011011C" w:rsidRPr="001B4C86">
        <w:rPr>
          <w:rFonts w:ascii="Arial" w:hAnsi="Arial" w:cs="Arial"/>
          <w:sz w:val="24"/>
          <w:szCs w:val="24"/>
          <w:vertAlign w:val="superscript"/>
        </w:rPr>
        <w:t>§</w:t>
      </w:r>
      <w:r w:rsidR="009D0B74" w:rsidRPr="001B4C86">
        <w:rPr>
          <w:rFonts w:ascii="Arial" w:hAnsi="Arial" w:cs="Arial"/>
          <w:sz w:val="24"/>
          <w:szCs w:val="24"/>
        </w:rPr>
        <w:t xml:space="preserve">, </w:t>
      </w:r>
      <w:r w:rsidR="00B0227A" w:rsidRPr="001B4C86">
        <w:rPr>
          <w:rFonts w:ascii="Arial" w:hAnsi="Arial" w:cs="Arial"/>
          <w:sz w:val="24"/>
          <w:szCs w:val="24"/>
        </w:rPr>
        <w:t>Adrienne K Chan</w:t>
      </w:r>
      <w:r w:rsidR="00B0227A" w:rsidRPr="001B4C86">
        <w:rPr>
          <w:rFonts w:ascii="Arial" w:hAnsi="Arial" w:cs="Arial"/>
          <w:sz w:val="24"/>
          <w:szCs w:val="24"/>
          <w:vertAlign w:val="superscript"/>
        </w:rPr>
        <w:t>3,4</w:t>
      </w:r>
      <w:r w:rsidR="009D0B74" w:rsidRPr="001B4C86">
        <w:rPr>
          <w:rFonts w:ascii="Arial" w:hAnsi="Arial" w:cs="Arial"/>
          <w:sz w:val="24"/>
          <w:szCs w:val="24"/>
        </w:rPr>
        <w:t xml:space="preserve">, </w:t>
      </w:r>
      <w:r w:rsidR="005E7B48" w:rsidRPr="001B4C86">
        <w:rPr>
          <w:rFonts w:ascii="Arial" w:hAnsi="Arial" w:cs="Arial"/>
          <w:sz w:val="24"/>
          <w:szCs w:val="24"/>
        </w:rPr>
        <w:t>Duncan Lupiya</w:t>
      </w:r>
      <w:r w:rsidR="005E7B48" w:rsidRPr="001B4C86">
        <w:rPr>
          <w:rFonts w:ascii="Arial" w:hAnsi="Arial" w:cs="Arial"/>
          <w:sz w:val="24"/>
          <w:szCs w:val="24"/>
          <w:vertAlign w:val="superscript"/>
        </w:rPr>
        <w:t>3</w:t>
      </w:r>
      <w:r w:rsidR="009D0B74" w:rsidRPr="001B4C86">
        <w:rPr>
          <w:rFonts w:ascii="Arial" w:hAnsi="Arial" w:cs="Arial"/>
          <w:sz w:val="24"/>
          <w:szCs w:val="24"/>
        </w:rPr>
        <w:t xml:space="preserve">, </w:t>
      </w:r>
      <w:r w:rsidR="00B0227A" w:rsidRPr="001B4C86">
        <w:rPr>
          <w:rFonts w:ascii="Arial" w:hAnsi="Arial" w:cs="Arial"/>
          <w:sz w:val="24"/>
          <w:szCs w:val="24"/>
        </w:rPr>
        <w:t>C</w:t>
      </w:r>
      <w:r w:rsidR="0043674A" w:rsidRPr="001B4C86">
        <w:rPr>
          <w:rFonts w:ascii="Arial" w:hAnsi="Arial" w:cs="Arial"/>
          <w:sz w:val="24"/>
          <w:szCs w:val="24"/>
        </w:rPr>
        <w:t>himwemwe Chawinga</w:t>
      </w:r>
      <w:r w:rsidR="00E777E4" w:rsidRPr="001B4C86">
        <w:rPr>
          <w:rFonts w:ascii="Arial" w:hAnsi="Arial" w:cs="Arial"/>
          <w:sz w:val="24"/>
          <w:szCs w:val="24"/>
          <w:vertAlign w:val="superscript"/>
        </w:rPr>
        <w:t>1</w:t>
      </w:r>
      <w:r w:rsidR="009D0B74" w:rsidRPr="001B4C86">
        <w:rPr>
          <w:rFonts w:ascii="Arial" w:hAnsi="Arial" w:cs="Arial"/>
          <w:sz w:val="24"/>
          <w:szCs w:val="24"/>
        </w:rPr>
        <w:t>, J</w:t>
      </w:r>
      <w:r w:rsidR="0094234D" w:rsidRPr="001B4C86">
        <w:rPr>
          <w:rFonts w:ascii="Arial" w:hAnsi="Arial" w:cs="Arial"/>
          <w:sz w:val="24"/>
          <w:szCs w:val="24"/>
        </w:rPr>
        <w:t>ack Adams</w:t>
      </w:r>
      <w:r w:rsidR="0094234D" w:rsidRPr="001B4C86">
        <w:rPr>
          <w:rFonts w:ascii="Arial" w:hAnsi="Arial" w:cs="Arial"/>
          <w:sz w:val="24"/>
          <w:szCs w:val="24"/>
          <w:vertAlign w:val="superscript"/>
        </w:rPr>
        <w:t>2</w:t>
      </w:r>
      <w:r w:rsidR="009D0B74" w:rsidRPr="001B4C86">
        <w:rPr>
          <w:rFonts w:ascii="Arial" w:hAnsi="Arial" w:cs="Arial"/>
          <w:sz w:val="24"/>
          <w:szCs w:val="24"/>
        </w:rPr>
        <w:t xml:space="preserve">, </w:t>
      </w:r>
      <w:bookmarkStart w:id="3" w:name="_Hlk8148624"/>
      <w:bookmarkStart w:id="4" w:name="_GoBack"/>
      <w:r w:rsidR="0043674A" w:rsidRPr="001B4C86">
        <w:rPr>
          <w:rFonts w:ascii="Arial" w:hAnsi="Arial" w:cs="Arial"/>
          <w:sz w:val="24"/>
          <w:szCs w:val="24"/>
        </w:rPr>
        <w:t>Philip Bright</w:t>
      </w:r>
      <w:r w:rsidR="0094234D" w:rsidRPr="001B4C86">
        <w:rPr>
          <w:rFonts w:ascii="Arial" w:hAnsi="Arial" w:cs="Arial"/>
          <w:sz w:val="24"/>
          <w:szCs w:val="24"/>
          <w:vertAlign w:val="superscript"/>
        </w:rPr>
        <w:t>3</w:t>
      </w:r>
      <w:r w:rsidR="0031101F" w:rsidRPr="001B4C86">
        <w:rPr>
          <w:rFonts w:ascii="Arial" w:hAnsi="Arial" w:cs="Arial"/>
          <w:sz w:val="24"/>
          <w:szCs w:val="24"/>
          <w:vertAlign w:val="superscript"/>
        </w:rPr>
        <w:t>,5</w:t>
      </w:r>
      <w:r w:rsidR="00FA0511" w:rsidRPr="001B4C86">
        <w:rPr>
          <w:rFonts w:ascii="Arial" w:hAnsi="Arial" w:cs="Arial"/>
          <w:sz w:val="24"/>
          <w:szCs w:val="24"/>
        </w:rPr>
        <w:t>,</w:t>
      </w:r>
      <w:r w:rsidR="00FA0511" w:rsidRPr="001B4C86">
        <w:t xml:space="preserve"> </w:t>
      </w:r>
      <w:r w:rsidR="009D0B74" w:rsidRPr="001B4C86">
        <w:rPr>
          <w:rFonts w:ascii="Arial" w:hAnsi="Arial" w:cs="Arial"/>
          <w:sz w:val="24"/>
          <w:szCs w:val="24"/>
        </w:rPr>
        <w:t xml:space="preserve">David </w:t>
      </w:r>
      <w:r w:rsidR="00B81B2E" w:rsidRPr="001B4C86">
        <w:rPr>
          <w:rFonts w:ascii="Arial" w:hAnsi="Arial" w:cs="Arial"/>
          <w:sz w:val="24"/>
          <w:szCs w:val="24"/>
        </w:rPr>
        <w:t xml:space="preserve">G </w:t>
      </w:r>
      <w:r w:rsidR="009D0B74" w:rsidRPr="001B4C86">
        <w:rPr>
          <w:rFonts w:ascii="Arial" w:hAnsi="Arial" w:cs="Arial"/>
          <w:sz w:val="24"/>
          <w:szCs w:val="24"/>
        </w:rPr>
        <w:t>Lalloo</w:t>
      </w:r>
      <w:r w:rsidR="009D0B74" w:rsidRPr="001B4C86">
        <w:rPr>
          <w:rFonts w:ascii="Arial" w:hAnsi="Arial" w:cs="Arial"/>
          <w:sz w:val="24"/>
          <w:szCs w:val="24"/>
          <w:vertAlign w:val="superscript"/>
        </w:rPr>
        <w:t>6</w:t>
      </w:r>
      <w:r w:rsidR="009D0B74" w:rsidRPr="001B4C86">
        <w:t xml:space="preserve">, </w:t>
      </w:r>
      <w:r w:rsidR="00B85184" w:rsidRPr="001B4C86">
        <w:rPr>
          <w:rFonts w:ascii="Arial" w:hAnsi="Arial" w:cs="Arial"/>
          <w:sz w:val="24"/>
          <w:szCs w:val="24"/>
        </w:rPr>
        <w:t>Robert</w:t>
      </w:r>
      <w:r w:rsidR="0094234D" w:rsidRPr="001B4C86">
        <w:rPr>
          <w:rFonts w:ascii="Arial" w:hAnsi="Arial" w:cs="Arial"/>
          <w:sz w:val="24"/>
          <w:szCs w:val="24"/>
        </w:rPr>
        <w:t xml:space="preserve"> S</w:t>
      </w:r>
      <w:r w:rsidR="00B85184" w:rsidRPr="001B4C86">
        <w:rPr>
          <w:rFonts w:ascii="Arial" w:hAnsi="Arial" w:cs="Arial"/>
          <w:sz w:val="24"/>
          <w:szCs w:val="24"/>
        </w:rPr>
        <w:t xml:space="preserve"> Heyderman</w:t>
      </w:r>
      <w:r w:rsidR="009D0B74" w:rsidRPr="001B4C86">
        <w:rPr>
          <w:rFonts w:ascii="Arial" w:hAnsi="Arial" w:cs="Arial"/>
          <w:sz w:val="24"/>
          <w:szCs w:val="24"/>
          <w:vertAlign w:val="superscript"/>
        </w:rPr>
        <w:t>7,8,9</w:t>
      </w:r>
      <w:r w:rsidR="009D0B74" w:rsidRPr="001B4C86">
        <w:rPr>
          <w:rFonts w:ascii="Arial" w:hAnsi="Arial" w:cs="Arial"/>
          <w:sz w:val="24"/>
          <w:szCs w:val="24"/>
        </w:rPr>
        <w:t xml:space="preserve">, </w:t>
      </w:r>
      <w:r w:rsidR="000B17BF" w:rsidRPr="001B4C86">
        <w:rPr>
          <w:rFonts w:ascii="Arial" w:hAnsi="Arial" w:cs="Arial"/>
          <w:sz w:val="24"/>
          <w:szCs w:val="24"/>
        </w:rPr>
        <w:t>Olivier Lortholary</w:t>
      </w:r>
      <w:r w:rsidR="009D0B74" w:rsidRPr="001B4C86">
        <w:rPr>
          <w:rFonts w:ascii="Arial" w:hAnsi="Arial" w:cs="Arial"/>
          <w:sz w:val="24"/>
          <w:szCs w:val="24"/>
          <w:vertAlign w:val="superscript"/>
        </w:rPr>
        <w:t>10,11</w:t>
      </w:r>
      <w:r w:rsidR="009D0B74" w:rsidRPr="001B4C86">
        <w:rPr>
          <w:rFonts w:ascii="Arial" w:hAnsi="Arial" w:cs="Arial"/>
          <w:sz w:val="24"/>
          <w:szCs w:val="24"/>
        </w:rPr>
        <w:t xml:space="preserve">, </w:t>
      </w:r>
      <w:proofErr w:type="spellStart"/>
      <w:r w:rsidR="006A2DB6" w:rsidRPr="001B4C86">
        <w:rPr>
          <w:rFonts w:ascii="Arial" w:hAnsi="Arial" w:cs="Arial"/>
          <w:sz w:val="24"/>
          <w:szCs w:val="24"/>
        </w:rPr>
        <w:t>Shabbar</w:t>
      </w:r>
      <w:proofErr w:type="spellEnd"/>
      <w:r w:rsidR="006A2DB6" w:rsidRPr="001B4C86">
        <w:rPr>
          <w:rFonts w:ascii="Arial" w:hAnsi="Arial" w:cs="Arial"/>
          <w:sz w:val="24"/>
          <w:szCs w:val="24"/>
        </w:rPr>
        <w:t xml:space="preserve"> Jaffar</w:t>
      </w:r>
      <w:r w:rsidR="009D0B74" w:rsidRPr="001B4C86">
        <w:rPr>
          <w:rFonts w:ascii="Arial" w:hAnsi="Arial" w:cs="Arial"/>
          <w:sz w:val="24"/>
          <w:szCs w:val="24"/>
          <w:vertAlign w:val="superscript"/>
        </w:rPr>
        <w:t>6</w:t>
      </w:r>
      <w:r w:rsidR="009D0B74" w:rsidRPr="001B4C86">
        <w:rPr>
          <w:rFonts w:ascii="Arial" w:hAnsi="Arial" w:cs="Arial"/>
          <w:sz w:val="24"/>
          <w:szCs w:val="24"/>
        </w:rPr>
        <w:t xml:space="preserve">, </w:t>
      </w:r>
      <w:r w:rsidR="004647E8" w:rsidRPr="001B4C86">
        <w:rPr>
          <w:rFonts w:ascii="Arial" w:hAnsi="Arial" w:cs="Arial"/>
          <w:sz w:val="24"/>
          <w:szCs w:val="24"/>
        </w:rPr>
        <w:t>Angela Loyse</w:t>
      </w:r>
      <w:r w:rsidR="004647E8" w:rsidRPr="001B4C86">
        <w:rPr>
          <w:rFonts w:ascii="Arial" w:hAnsi="Arial" w:cs="Arial"/>
          <w:sz w:val="24"/>
          <w:szCs w:val="24"/>
          <w:vertAlign w:val="superscript"/>
        </w:rPr>
        <w:t>2</w:t>
      </w:r>
      <w:r w:rsidR="004647E8" w:rsidRPr="001B4C86">
        <w:rPr>
          <w:rFonts w:ascii="Arial" w:hAnsi="Arial" w:cs="Arial"/>
          <w:sz w:val="24"/>
          <w:szCs w:val="24"/>
        </w:rPr>
        <w:t xml:space="preserve">, </w:t>
      </w:r>
      <w:proofErr w:type="spellStart"/>
      <w:r w:rsidR="009D0B74" w:rsidRPr="001B4C86">
        <w:rPr>
          <w:rFonts w:ascii="Arial" w:hAnsi="Arial" w:cs="Arial"/>
          <w:sz w:val="24"/>
          <w:szCs w:val="24"/>
        </w:rPr>
        <w:t>J</w:t>
      </w:r>
      <w:r w:rsidR="0043674A" w:rsidRPr="001B4C86">
        <w:rPr>
          <w:rFonts w:ascii="Arial" w:hAnsi="Arial" w:cs="Arial"/>
          <w:sz w:val="24"/>
          <w:szCs w:val="24"/>
        </w:rPr>
        <w:t>oep</w:t>
      </w:r>
      <w:proofErr w:type="spellEnd"/>
      <w:r w:rsidR="0043674A" w:rsidRPr="001B4C86">
        <w:rPr>
          <w:rFonts w:ascii="Arial" w:hAnsi="Arial" w:cs="Arial"/>
          <w:sz w:val="24"/>
          <w:szCs w:val="24"/>
        </w:rPr>
        <w:t xml:space="preserve"> </w:t>
      </w:r>
      <w:r w:rsidR="0094234D" w:rsidRPr="001B4C86">
        <w:rPr>
          <w:rFonts w:ascii="Arial" w:hAnsi="Arial" w:cs="Arial"/>
          <w:sz w:val="24"/>
          <w:szCs w:val="24"/>
        </w:rPr>
        <w:t xml:space="preserve">J </w:t>
      </w:r>
      <w:r w:rsidR="0043674A" w:rsidRPr="001B4C86">
        <w:rPr>
          <w:rFonts w:ascii="Arial" w:hAnsi="Arial" w:cs="Arial"/>
          <w:sz w:val="24"/>
          <w:szCs w:val="24"/>
        </w:rPr>
        <w:t>van Oosterhout</w:t>
      </w:r>
      <w:r w:rsidR="00206C2E" w:rsidRPr="001B4C86">
        <w:rPr>
          <w:rFonts w:ascii="Arial" w:hAnsi="Arial" w:cs="Arial"/>
          <w:sz w:val="24"/>
          <w:szCs w:val="24"/>
          <w:vertAlign w:val="superscript"/>
        </w:rPr>
        <w:t>3,</w:t>
      </w:r>
      <w:r w:rsidR="009D0B74" w:rsidRPr="001B4C86">
        <w:rPr>
          <w:rFonts w:ascii="Arial" w:hAnsi="Arial" w:cs="Arial"/>
          <w:sz w:val="24"/>
          <w:szCs w:val="24"/>
          <w:vertAlign w:val="superscript"/>
        </w:rPr>
        <w:t>8</w:t>
      </w:r>
      <w:r w:rsidR="0043674A" w:rsidRPr="001B4C86">
        <w:rPr>
          <w:rFonts w:ascii="Arial" w:hAnsi="Arial" w:cs="Arial"/>
          <w:sz w:val="24"/>
          <w:szCs w:val="24"/>
        </w:rPr>
        <w:t xml:space="preserve">, </w:t>
      </w:r>
      <w:r w:rsidRPr="001B4C86">
        <w:rPr>
          <w:rFonts w:ascii="Arial" w:hAnsi="Arial" w:cs="Arial"/>
          <w:sz w:val="24"/>
          <w:szCs w:val="24"/>
        </w:rPr>
        <w:t>Mina C Hosseinipour</w:t>
      </w:r>
      <w:r w:rsidRPr="001B4C86">
        <w:rPr>
          <w:rFonts w:ascii="Arial" w:hAnsi="Arial" w:cs="Arial"/>
          <w:sz w:val="24"/>
          <w:szCs w:val="24"/>
          <w:vertAlign w:val="superscript"/>
        </w:rPr>
        <w:t>1,1</w:t>
      </w:r>
      <w:r w:rsidR="0031101F" w:rsidRPr="001B4C86">
        <w:rPr>
          <w:rFonts w:ascii="Arial" w:hAnsi="Arial" w:cs="Arial"/>
          <w:sz w:val="24"/>
          <w:szCs w:val="24"/>
          <w:vertAlign w:val="superscript"/>
        </w:rPr>
        <w:t>2</w:t>
      </w:r>
      <w:r w:rsidR="009D0B74" w:rsidRPr="001B4C86">
        <w:rPr>
          <w:rFonts w:ascii="Arial" w:hAnsi="Arial" w:cs="Arial"/>
          <w:sz w:val="24"/>
          <w:szCs w:val="24"/>
        </w:rPr>
        <w:t xml:space="preserve">, </w:t>
      </w:r>
      <w:r w:rsidR="00A378C2" w:rsidRPr="001B4C86">
        <w:rPr>
          <w:rFonts w:ascii="Arial" w:hAnsi="Arial" w:cs="Arial"/>
          <w:sz w:val="24"/>
          <w:szCs w:val="24"/>
        </w:rPr>
        <w:t>Thomas S Harrison</w:t>
      </w:r>
      <w:r w:rsidR="00A378C2" w:rsidRPr="001B4C86">
        <w:rPr>
          <w:rFonts w:ascii="Arial" w:hAnsi="Arial" w:cs="Arial"/>
          <w:sz w:val="24"/>
          <w:szCs w:val="24"/>
          <w:vertAlign w:val="superscript"/>
        </w:rPr>
        <w:t>2</w:t>
      </w:r>
      <w:r w:rsidR="002449A1" w:rsidRPr="001B4C86">
        <w:rPr>
          <w:rFonts w:ascii="Arial" w:hAnsi="Arial" w:cs="Arial"/>
          <w:sz w:val="24"/>
          <w:szCs w:val="24"/>
        </w:rPr>
        <w:t>.</w:t>
      </w:r>
    </w:p>
    <w:bookmarkEnd w:id="3"/>
    <w:bookmarkEnd w:id="4"/>
    <w:p w14:paraId="411A703A" w14:textId="77777777" w:rsidR="002449A1" w:rsidRPr="001B4C86" w:rsidRDefault="002449A1" w:rsidP="002D6135">
      <w:pPr>
        <w:widowControl w:val="0"/>
        <w:autoSpaceDE w:val="0"/>
        <w:autoSpaceDN w:val="0"/>
        <w:adjustRightInd w:val="0"/>
        <w:spacing w:after="0" w:line="240" w:lineRule="auto"/>
        <w:rPr>
          <w:rFonts w:ascii="Arial" w:hAnsi="Arial" w:cs="Arial"/>
          <w:sz w:val="24"/>
          <w:szCs w:val="24"/>
        </w:rPr>
      </w:pPr>
    </w:p>
    <w:p w14:paraId="099DCD44" w14:textId="3DB8818B" w:rsidR="0075530F" w:rsidRPr="001B4C86" w:rsidRDefault="0075530F" w:rsidP="0075530F">
      <w:pPr>
        <w:spacing w:after="0" w:line="200" w:lineRule="atLeast"/>
        <w:rPr>
          <w:rFonts w:ascii="Arial" w:eastAsia="Times New Roman" w:hAnsi="Arial" w:cs="Arial"/>
          <w:sz w:val="24"/>
          <w:szCs w:val="24"/>
        </w:rPr>
      </w:pPr>
      <w:r w:rsidRPr="001B4C86">
        <w:rPr>
          <w:rFonts w:ascii="Arial" w:eastAsia="Times New Roman" w:hAnsi="Arial" w:cs="Arial"/>
          <w:sz w:val="24"/>
          <w:szCs w:val="24"/>
        </w:rPr>
        <w:t>1. University of North Carolina Project-Malawi, Kamuzu Central Hospital, Lilongwe, Malawi</w:t>
      </w:r>
    </w:p>
    <w:p w14:paraId="40E4BA46" w14:textId="77777777" w:rsidR="0075530F" w:rsidRPr="001B4C86" w:rsidRDefault="0075530F" w:rsidP="00177CA9">
      <w:pPr>
        <w:spacing w:after="0" w:line="200" w:lineRule="atLeast"/>
        <w:rPr>
          <w:rFonts w:ascii="Arial" w:eastAsia="Times New Roman" w:hAnsi="Arial" w:cs="Arial"/>
          <w:sz w:val="24"/>
          <w:szCs w:val="24"/>
        </w:rPr>
      </w:pPr>
      <w:r w:rsidRPr="001B4C86">
        <w:rPr>
          <w:rFonts w:ascii="Arial" w:eastAsia="Times New Roman" w:hAnsi="Arial" w:cs="Arial"/>
          <w:sz w:val="24"/>
          <w:szCs w:val="24"/>
        </w:rPr>
        <w:t xml:space="preserve">2 Centre for Global Health, Institute for Infection and Immunity, St George’s University of London, United Kingdom, </w:t>
      </w:r>
    </w:p>
    <w:p w14:paraId="3C4030EF" w14:textId="40356DFF" w:rsidR="0075530F" w:rsidRPr="001B4C86" w:rsidRDefault="001C79FC" w:rsidP="0075530F">
      <w:pPr>
        <w:spacing w:after="0" w:line="200" w:lineRule="atLeast"/>
        <w:rPr>
          <w:rFonts w:ascii="Arial" w:eastAsia="Times New Roman" w:hAnsi="Arial" w:cs="Arial"/>
          <w:sz w:val="24"/>
          <w:szCs w:val="24"/>
        </w:rPr>
      </w:pPr>
      <w:r w:rsidRPr="001B4C86">
        <w:rPr>
          <w:rFonts w:ascii="Arial" w:eastAsia="Times New Roman" w:hAnsi="Arial" w:cs="Arial"/>
          <w:sz w:val="24"/>
          <w:szCs w:val="24"/>
        </w:rPr>
        <w:t>3</w:t>
      </w:r>
      <w:r w:rsidR="0075530F" w:rsidRPr="001B4C86">
        <w:rPr>
          <w:rFonts w:ascii="Arial" w:eastAsia="Times New Roman" w:hAnsi="Arial" w:cs="Arial"/>
          <w:sz w:val="24"/>
          <w:szCs w:val="24"/>
        </w:rPr>
        <w:t xml:space="preserve"> Dignitas International, Zomba Central Hospital, Zomba, Malawi,</w:t>
      </w:r>
    </w:p>
    <w:p w14:paraId="69D8ABC4" w14:textId="3C780186" w:rsidR="0075530F" w:rsidRPr="001B4C86" w:rsidRDefault="001C79FC" w:rsidP="0075530F">
      <w:pPr>
        <w:spacing w:after="0" w:line="200" w:lineRule="atLeast"/>
        <w:rPr>
          <w:rFonts w:ascii="Arial" w:eastAsia="Times New Roman" w:hAnsi="Arial" w:cs="Arial"/>
          <w:sz w:val="24"/>
          <w:szCs w:val="24"/>
        </w:rPr>
      </w:pPr>
      <w:r w:rsidRPr="001B4C86">
        <w:rPr>
          <w:rFonts w:ascii="Arial" w:eastAsia="Times New Roman" w:hAnsi="Arial" w:cs="Arial"/>
          <w:sz w:val="24"/>
          <w:szCs w:val="24"/>
        </w:rPr>
        <w:t>4</w:t>
      </w:r>
      <w:r w:rsidR="0075530F" w:rsidRPr="001B4C86">
        <w:rPr>
          <w:rFonts w:ascii="Arial" w:eastAsia="Times New Roman" w:hAnsi="Arial" w:cs="Arial"/>
          <w:sz w:val="24"/>
          <w:szCs w:val="24"/>
        </w:rPr>
        <w:t xml:space="preserve"> Division of Infectious Diseases, Department of Medicine, Sunnybrook Health Sciences Centre, University of Toronto, Toronto, Canada </w:t>
      </w:r>
    </w:p>
    <w:p w14:paraId="5D9F5472" w14:textId="0CDE1A2A" w:rsidR="0031101F" w:rsidRPr="001B4C86" w:rsidRDefault="00A10206" w:rsidP="000B17BF">
      <w:pPr>
        <w:spacing w:after="0" w:line="200" w:lineRule="atLeast"/>
        <w:rPr>
          <w:rFonts w:ascii="Arial" w:eastAsia="Times New Roman" w:hAnsi="Arial" w:cs="Arial"/>
          <w:sz w:val="24"/>
          <w:szCs w:val="24"/>
        </w:rPr>
      </w:pPr>
      <w:r w:rsidRPr="001B4C86">
        <w:rPr>
          <w:rFonts w:ascii="Arial" w:eastAsia="Times New Roman" w:hAnsi="Arial" w:cs="Arial"/>
          <w:sz w:val="24"/>
          <w:szCs w:val="24"/>
        </w:rPr>
        <w:t>5</w:t>
      </w:r>
      <w:r w:rsidR="000B17BF" w:rsidRPr="001B4C86">
        <w:rPr>
          <w:rFonts w:ascii="Arial" w:eastAsia="Times New Roman" w:hAnsi="Arial" w:cs="Arial"/>
          <w:sz w:val="24"/>
          <w:szCs w:val="24"/>
        </w:rPr>
        <w:t xml:space="preserve"> </w:t>
      </w:r>
      <w:r w:rsidR="0031101F" w:rsidRPr="001B4C86">
        <w:rPr>
          <w:rFonts w:ascii="Arial" w:eastAsia="Times New Roman" w:hAnsi="Arial" w:cs="Arial"/>
          <w:sz w:val="24"/>
          <w:szCs w:val="24"/>
        </w:rPr>
        <w:t>Clinical Immunology Department, North Bristol NHS Trust, Bristol, United Kingdom</w:t>
      </w:r>
    </w:p>
    <w:p w14:paraId="3F9E8351" w14:textId="371C68F9" w:rsidR="009D0B74" w:rsidRPr="001B4C86" w:rsidRDefault="009D0B74" w:rsidP="000B17BF">
      <w:pPr>
        <w:spacing w:after="0" w:line="200" w:lineRule="atLeast"/>
        <w:rPr>
          <w:rFonts w:ascii="Arial" w:eastAsia="Times New Roman" w:hAnsi="Arial" w:cs="Arial"/>
          <w:sz w:val="24"/>
          <w:szCs w:val="24"/>
        </w:rPr>
      </w:pPr>
      <w:r w:rsidRPr="001B4C86">
        <w:rPr>
          <w:rFonts w:ascii="Arial" w:eastAsia="Times New Roman" w:hAnsi="Arial" w:cs="Arial"/>
          <w:sz w:val="24"/>
          <w:szCs w:val="24"/>
        </w:rPr>
        <w:t>6</w:t>
      </w:r>
      <w:r w:rsidRPr="001B4C86">
        <w:rPr>
          <w:sz w:val="25"/>
          <w:szCs w:val="25"/>
        </w:rPr>
        <w:t xml:space="preserve"> </w:t>
      </w:r>
      <w:r w:rsidRPr="001B4C86">
        <w:rPr>
          <w:rFonts w:ascii="Arial" w:eastAsia="Times New Roman" w:hAnsi="Arial" w:cs="Arial"/>
          <w:sz w:val="24"/>
          <w:szCs w:val="24"/>
        </w:rPr>
        <w:t>Liverpool School of Tropical Medicine, Liverpool, United Kingdom</w:t>
      </w:r>
    </w:p>
    <w:p w14:paraId="4E0F9B46" w14:textId="434A2ECD" w:rsidR="000B17BF" w:rsidRPr="001B4C86" w:rsidRDefault="009D0B74" w:rsidP="000B17BF">
      <w:pPr>
        <w:spacing w:after="0" w:line="200" w:lineRule="atLeast"/>
        <w:rPr>
          <w:rFonts w:ascii="Arial" w:eastAsia="Times New Roman" w:hAnsi="Arial" w:cs="Arial"/>
          <w:sz w:val="24"/>
          <w:szCs w:val="24"/>
        </w:rPr>
      </w:pPr>
      <w:r w:rsidRPr="001B4C86">
        <w:rPr>
          <w:rFonts w:ascii="Arial" w:eastAsia="Times New Roman" w:hAnsi="Arial" w:cs="Arial"/>
          <w:sz w:val="24"/>
          <w:szCs w:val="24"/>
        </w:rPr>
        <w:t>7</w:t>
      </w:r>
      <w:r w:rsidR="0031101F" w:rsidRPr="001B4C86">
        <w:rPr>
          <w:rFonts w:ascii="Arial" w:eastAsia="Times New Roman" w:hAnsi="Arial" w:cs="Arial"/>
          <w:sz w:val="24"/>
          <w:szCs w:val="24"/>
        </w:rPr>
        <w:t xml:space="preserve"> </w:t>
      </w:r>
      <w:r w:rsidR="000B17BF" w:rsidRPr="001B4C86">
        <w:rPr>
          <w:rFonts w:ascii="Arial" w:eastAsia="Times New Roman" w:hAnsi="Arial" w:cs="Arial"/>
          <w:sz w:val="24"/>
          <w:szCs w:val="24"/>
        </w:rPr>
        <w:t>Malawi-Liverpool-</w:t>
      </w:r>
      <w:proofErr w:type="spellStart"/>
      <w:r w:rsidR="000B17BF" w:rsidRPr="001B4C86">
        <w:rPr>
          <w:rFonts w:ascii="Arial" w:eastAsia="Times New Roman" w:hAnsi="Arial" w:cs="Arial"/>
          <w:sz w:val="24"/>
          <w:szCs w:val="24"/>
        </w:rPr>
        <w:t>Wellcome</w:t>
      </w:r>
      <w:proofErr w:type="spellEnd"/>
      <w:r w:rsidR="000B17BF" w:rsidRPr="001B4C86">
        <w:rPr>
          <w:rFonts w:ascii="Arial" w:eastAsia="Times New Roman" w:hAnsi="Arial" w:cs="Arial"/>
          <w:sz w:val="24"/>
          <w:szCs w:val="24"/>
        </w:rPr>
        <w:t xml:space="preserve"> Trust Clinical Research Programme, Blantyre, Malawi, </w:t>
      </w:r>
    </w:p>
    <w:p w14:paraId="47C4B075" w14:textId="5C1ABEC0" w:rsidR="000B17BF" w:rsidRPr="001B4C86" w:rsidRDefault="009D0B74" w:rsidP="000B17BF">
      <w:pPr>
        <w:spacing w:after="0" w:line="200" w:lineRule="atLeast"/>
        <w:rPr>
          <w:rFonts w:ascii="Arial" w:eastAsia="Times New Roman" w:hAnsi="Arial" w:cs="Arial"/>
          <w:sz w:val="24"/>
          <w:szCs w:val="24"/>
        </w:rPr>
      </w:pPr>
      <w:r w:rsidRPr="001B4C86">
        <w:rPr>
          <w:rFonts w:ascii="Arial" w:eastAsia="Times New Roman" w:hAnsi="Arial" w:cs="Arial"/>
          <w:sz w:val="24"/>
          <w:szCs w:val="24"/>
        </w:rPr>
        <w:t>8</w:t>
      </w:r>
      <w:r w:rsidR="000B17BF" w:rsidRPr="001B4C86">
        <w:rPr>
          <w:rFonts w:ascii="Arial" w:eastAsia="Times New Roman" w:hAnsi="Arial" w:cs="Arial"/>
          <w:sz w:val="24"/>
          <w:szCs w:val="24"/>
        </w:rPr>
        <w:t xml:space="preserve"> </w:t>
      </w:r>
      <w:r w:rsidR="00206C2E" w:rsidRPr="001B4C86">
        <w:rPr>
          <w:rFonts w:ascii="Arial" w:eastAsia="Times New Roman" w:hAnsi="Arial" w:cs="Arial"/>
          <w:sz w:val="24"/>
          <w:szCs w:val="24"/>
        </w:rPr>
        <w:t xml:space="preserve">Department of Medicine, </w:t>
      </w:r>
      <w:r w:rsidR="000B17BF" w:rsidRPr="001B4C86">
        <w:rPr>
          <w:rFonts w:ascii="Arial" w:eastAsia="Times New Roman" w:hAnsi="Arial" w:cs="Arial"/>
          <w:sz w:val="24"/>
          <w:szCs w:val="24"/>
        </w:rPr>
        <w:t xml:space="preserve">College of Medicine, University of Malawi, Blantyre, Malawi </w:t>
      </w:r>
    </w:p>
    <w:p w14:paraId="2D3DB6CC" w14:textId="7BDBB896" w:rsidR="000B17BF" w:rsidRPr="001B4C86" w:rsidRDefault="009D0B74" w:rsidP="000B17BF">
      <w:pPr>
        <w:spacing w:after="0" w:line="200" w:lineRule="atLeast"/>
        <w:rPr>
          <w:rFonts w:ascii="Arial" w:eastAsia="Times New Roman" w:hAnsi="Arial" w:cs="Arial"/>
          <w:sz w:val="24"/>
          <w:szCs w:val="24"/>
        </w:rPr>
      </w:pPr>
      <w:r w:rsidRPr="001B4C86">
        <w:rPr>
          <w:rFonts w:ascii="Arial" w:eastAsia="Times New Roman" w:hAnsi="Arial" w:cs="Arial"/>
          <w:sz w:val="24"/>
          <w:szCs w:val="24"/>
        </w:rPr>
        <w:t>9</w:t>
      </w:r>
      <w:r w:rsidR="000B17BF" w:rsidRPr="001B4C86">
        <w:rPr>
          <w:rFonts w:ascii="Arial" w:eastAsia="Times New Roman" w:hAnsi="Arial" w:cs="Arial"/>
          <w:sz w:val="24"/>
          <w:szCs w:val="24"/>
        </w:rPr>
        <w:t xml:space="preserve"> University College London, London, United Kingdom</w:t>
      </w:r>
    </w:p>
    <w:p w14:paraId="0F4EB154" w14:textId="17C96E5B" w:rsidR="006A2DB6" w:rsidRPr="001B4C86" w:rsidRDefault="009D0B74" w:rsidP="00177CA9">
      <w:pPr>
        <w:spacing w:after="0" w:line="200" w:lineRule="atLeast"/>
        <w:rPr>
          <w:rFonts w:ascii="Arial" w:eastAsia="Times New Roman" w:hAnsi="Arial" w:cs="Arial"/>
          <w:sz w:val="24"/>
          <w:szCs w:val="24"/>
        </w:rPr>
      </w:pPr>
      <w:r w:rsidRPr="001B4C86">
        <w:rPr>
          <w:rFonts w:ascii="Arial" w:eastAsia="Times New Roman" w:hAnsi="Arial" w:cs="Arial"/>
          <w:sz w:val="24"/>
          <w:szCs w:val="24"/>
          <w:lang w:val="fr-FR"/>
        </w:rPr>
        <w:t>10</w:t>
      </w:r>
      <w:r w:rsidR="00F278CE" w:rsidRPr="001B4C86">
        <w:rPr>
          <w:rFonts w:ascii="Arial" w:eastAsia="Times New Roman" w:hAnsi="Arial" w:cs="Arial"/>
          <w:sz w:val="24"/>
          <w:szCs w:val="24"/>
          <w:lang w:val="fr-FR"/>
        </w:rPr>
        <w:t xml:space="preserve"> Institut Pasteur, </w:t>
      </w:r>
      <w:proofErr w:type="spellStart"/>
      <w:r w:rsidR="00F278CE" w:rsidRPr="001B4C86">
        <w:rPr>
          <w:rFonts w:ascii="Arial" w:eastAsia="Times New Roman" w:hAnsi="Arial" w:cs="Arial"/>
          <w:sz w:val="24"/>
          <w:szCs w:val="24"/>
          <w:lang w:val="fr-FR"/>
        </w:rPr>
        <w:t>Molecular</w:t>
      </w:r>
      <w:proofErr w:type="spellEnd"/>
      <w:r w:rsidR="00F278CE" w:rsidRPr="001B4C86">
        <w:rPr>
          <w:rFonts w:ascii="Arial" w:eastAsia="Times New Roman" w:hAnsi="Arial" w:cs="Arial"/>
          <w:sz w:val="24"/>
          <w:szCs w:val="24"/>
          <w:lang w:val="fr-FR"/>
        </w:rPr>
        <w:t xml:space="preserve"> </w:t>
      </w:r>
      <w:proofErr w:type="spellStart"/>
      <w:r w:rsidR="00F278CE" w:rsidRPr="001B4C86">
        <w:rPr>
          <w:rFonts w:ascii="Arial" w:eastAsia="Times New Roman" w:hAnsi="Arial" w:cs="Arial"/>
          <w:sz w:val="24"/>
          <w:szCs w:val="24"/>
          <w:lang w:val="fr-FR"/>
        </w:rPr>
        <w:t>Mycology</w:t>
      </w:r>
      <w:proofErr w:type="spellEnd"/>
      <w:r w:rsidR="00F278CE" w:rsidRPr="001B4C86">
        <w:rPr>
          <w:rFonts w:ascii="Arial" w:eastAsia="Times New Roman" w:hAnsi="Arial" w:cs="Arial"/>
          <w:sz w:val="24"/>
          <w:szCs w:val="24"/>
          <w:lang w:val="fr-FR"/>
        </w:rPr>
        <w:t xml:space="preserve"> Unit, CNRS </w:t>
      </w:r>
      <w:r w:rsidR="000C3323" w:rsidRPr="001B4C86">
        <w:rPr>
          <w:rFonts w:ascii="Arial" w:eastAsia="Times New Roman" w:hAnsi="Arial" w:cs="Arial"/>
          <w:sz w:val="24"/>
          <w:szCs w:val="24"/>
          <w:lang w:val="fr-FR"/>
        </w:rPr>
        <w:t>CMR 2000</w:t>
      </w:r>
      <w:r w:rsidR="00F278CE" w:rsidRPr="001B4C86">
        <w:rPr>
          <w:rFonts w:ascii="Arial" w:eastAsia="Times New Roman" w:hAnsi="Arial" w:cs="Arial"/>
          <w:sz w:val="24"/>
          <w:szCs w:val="24"/>
          <w:lang w:val="fr-FR"/>
        </w:rPr>
        <w:t xml:space="preserve">, Paris, France, </w:t>
      </w:r>
    </w:p>
    <w:p w14:paraId="591AFEF1" w14:textId="530A6779" w:rsidR="00F278CE" w:rsidRPr="001B4C86" w:rsidRDefault="0031101F" w:rsidP="00F278CE">
      <w:pPr>
        <w:spacing w:after="0" w:line="200" w:lineRule="atLeast"/>
        <w:rPr>
          <w:rFonts w:ascii="Arial" w:eastAsia="Times New Roman" w:hAnsi="Arial" w:cs="Arial"/>
          <w:sz w:val="24"/>
          <w:szCs w:val="24"/>
        </w:rPr>
      </w:pPr>
      <w:r w:rsidRPr="001B4C86">
        <w:rPr>
          <w:rFonts w:ascii="Arial" w:eastAsia="Times New Roman" w:hAnsi="Arial" w:cs="Arial"/>
          <w:sz w:val="24"/>
          <w:szCs w:val="24"/>
        </w:rPr>
        <w:t>1</w:t>
      </w:r>
      <w:r w:rsidR="009D0B74" w:rsidRPr="001B4C86">
        <w:rPr>
          <w:rFonts w:ascii="Arial" w:eastAsia="Times New Roman" w:hAnsi="Arial" w:cs="Arial"/>
          <w:sz w:val="24"/>
          <w:szCs w:val="24"/>
        </w:rPr>
        <w:t>1</w:t>
      </w:r>
      <w:r w:rsidR="00F278CE" w:rsidRPr="001B4C86">
        <w:rPr>
          <w:rFonts w:ascii="Arial" w:eastAsia="Times New Roman" w:hAnsi="Arial" w:cs="Arial"/>
          <w:sz w:val="24"/>
          <w:szCs w:val="24"/>
        </w:rPr>
        <w:t xml:space="preserve"> Paris Descartes University, Necker Pasteur </w:t>
      </w:r>
      <w:proofErr w:type="spellStart"/>
      <w:r w:rsidR="00F278CE" w:rsidRPr="001B4C86">
        <w:rPr>
          <w:rFonts w:ascii="Arial" w:eastAsia="Times New Roman" w:hAnsi="Arial" w:cs="Arial"/>
          <w:sz w:val="24"/>
          <w:szCs w:val="24"/>
        </w:rPr>
        <w:t>Center</w:t>
      </w:r>
      <w:proofErr w:type="spellEnd"/>
      <w:r w:rsidR="00F278CE" w:rsidRPr="001B4C86">
        <w:rPr>
          <w:rFonts w:ascii="Arial" w:eastAsia="Times New Roman" w:hAnsi="Arial" w:cs="Arial"/>
          <w:sz w:val="24"/>
          <w:szCs w:val="24"/>
        </w:rPr>
        <w:t xml:space="preserve"> for Infectious Diseases and Tropical Medicine, IHU Imagine, APHP, Paris, France.</w:t>
      </w:r>
    </w:p>
    <w:p w14:paraId="25180FAF" w14:textId="1FF441C3" w:rsidR="001C79FC" w:rsidRPr="001B4C86" w:rsidRDefault="001C79FC" w:rsidP="00F278CE">
      <w:pPr>
        <w:spacing w:after="0" w:line="200" w:lineRule="atLeast"/>
        <w:rPr>
          <w:rFonts w:ascii="Arial" w:eastAsia="Times New Roman" w:hAnsi="Arial" w:cs="Arial"/>
          <w:sz w:val="24"/>
          <w:szCs w:val="24"/>
        </w:rPr>
      </w:pPr>
      <w:r w:rsidRPr="001B4C86">
        <w:rPr>
          <w:rFonts w:ascii="Arial" w:eastAsia="Times New Roman" w:hAnsi="Arial" w:cs="Arial"/>
          <w:sz w:val="24"/>
          <w:szCs w:val="24"/>
        </w:rPr>
        <w:t>1</w:t>
      </w:r>
      <w:r w:rsidR="0031101F" w:rsidRPr="001B4C86">
        <w:rPr>
          <w:rFonts w:ascii="Arial" w:eastAsia="Times New Roman" w:hAnsi="Arial" w:cs="Arial"/>
          <w:sz w:val="24"/>
          <w:szCs w:val="24"/>
        </w:rPr>
        <w:t>2</w:t>
      </w:r>
      <w:r w:rsidRPr="001B4C86">
        <w:rPr>
          <w:rFonts w:ascii="Arial" w:eastAsia="Times New Roman" w:hAnsi="Arial" w:cs="Arial"/>
          <w:sz w:val="24"/>
          <w:szCs w:val="24"/>
        </w:rPr>
        <w:t xml:space="preserve"> </w:t>
      </w:r>
      <w:r w:rsidRPr="001B4C86">
        <w:rPr>
          <w:rFonts w:ascii="Arial" w:hAnsi="Arial" w:cs="Arial"/>
          <w:sz w:val="24"/>
          <w:szCs w:val="24"/>
        </w:rPr>
        <w:t>Division of Infectious Diseases, University of North Carolina at Chapel Hill School of Medicine</w:t>
      </w:r>
    </w:p>
    <w:p w14:paraId="775AE59A" w14:textId="77777777" w:rsidR="001C79FC" w:rsidRPr="001B4C86" w:rsidRDefault="001C79FC" w:rsidP="00F278CE">
      <w:pPr>
        <w:spacing w:after="0" w:line="200" w:lineRule="atLeast"/>
        <w:rPr>
          <w:rFonts w:ascii="Arial" w:eastAsia="Times New Roman" w:hAnsi="Arial" w:cs="Arial"/>
          <w:sz w:val="24"/>
          <w:szCs w:val="24"/>
        </w:rPr>
      </w:pPr>
    </w:p>
    <w:bookmarkEnd w:id="2"/>
    <w:p w14:paraId="33DBBCCB" w14:textId="5E457C38" w:rsidR="006A2DB6" w:rsidRPr="001B4C86" w:rsidRDefault="006A2DB6" w:rsidP="006A2DB6">
      <w:pPr>
        <w:widowControl w:val="0"/>
        <w:autoSpaceDE w:val="0"/>
        <w:autoSpaceDN w:val="0"/>
        <w:adjustRightInd w:val="0"/>
        <w:spacing w:after="0" w:line="240" w:lineRule="atLeast"/>
        <w:rPr>
          <w:rFonts w:ascii="Arial" w:hAnsi="Arial" w:cs="Arial"/>
          <w:sz w:val="24"/>
          <w:szCs w:val="24"/>
          <w:lang w:val="en-US"/>
        </w:rPr>
      </w:pPr>
      <w:r w:rsidRPr="001B4C86">
        <w:rPr>
          <w:rFonts w:ascii="Arial" w:hAnsi="Arial" w:cs="Arial"/>
          <w:sz w:val="24"/>
          <w:szCs w:val="24"/>
          <w:lang w:val="en-US"/>
        </w:rPr>
        <w:t xml:space="preserve">* </w:t>
      </w:r>
      <w:r w:rsidR="001737D9" w:rsidRPr="001B4C86">
        <w:rPr>
          <w:rFonts w:ascii="Arial" w:hAnsi="Arial" w:cs="Arial"/>
          <w:sz w:val="24"/>
          <w:szCs w:val="24"/>
          <w:lang w:val="en-US"/>
        </w:rPr>
        <w:t xml:space="preserve">contributed </w:t>
      </w:r>
      <w:r w:rsidRPr="001B4C86">
        <w:rPr>
          <w:rFonts w:ascii="Arial" w:hAnsi="Arial" w:cs="Arial"/>
          <w:sz w:val="24"/>
          <w:szCs w:val="24"/>
          <w:lang w:val="en-US"/>
        </w:rPr>
        <w:t>equal</w:t>
      </w:r>
      <w:r w:rsidR="001737D9" w:rsidRPr="001B4C86">
        <w:rPr>
          <w:rFonts w:ascii="Arial" w:hAnsi="Arial" w:cs="Arial"/>
          <w:sz w:val="24"/>
          <w:szCs w:val="24"/>
          <w:lang w:val="en-US"/>
        </w:rPr>
        <w:t>ly</w:t>
      </w:r>
    </w:p>
    <w:p w14:paraId="0018B606" w14:textId="3ABB15DB" w:rsidR="00B513D4" w:rsidRPr="001B4C86" w:rsidRDefault="00FF28D8" w:rsidP="0094003E">
      <w:pPr>
        <w:widowControl w:val="0"/>
        <w:autoSpaceDE w:val="0"/>
        <w:autoSpaceDN w:val="0"/>
        <w:adjustRightInd w:val="0"/>
        <w:spacing w:after="0" w:line="240" w:lineRule="atLeast"/>
        <w:rPr>
          <w:rFonts w:ascii="Arial" w:hAnsi="Arial" w:cs="Arial"/>
          <w:sz w:val="24"/>
          <w:szCs w:val="24"/>
          <w:lang w:val="en-US"/>
        </w:rPr>
      </w:pPr>
      <w:r w:rsidRPr="001B4C86">
        <w:rPr>
          <w:rFonts w:ascii="Arial" w:hAnsi="Arial" w:cs="Arial"/>
          <w:sz w:val="24"/>
          <w:szCs w:val="24"/>
          <w:vertAlign w:val="superscript"/>
          <w:lang w:val="en-US"/>
        </w:rPr>
        <w:t xml:space="preserve">§ </w:t>
      </w:r>
      <w:r w:rsidRPr="001B4C86">
        <w:rPr>
          <w:rFonts w:ascii="Arial" w:hAnsi="Arial" w:cs="Arial"/>
          <w:sz w:val="24"/>
          <w:szCs w:val="24"/>
          <w:lang w:val="en-US"/>
        </w:rPr>
        <w:t>corresponding author</w:t>
      </w:r>
    </w:p>
    <w:p w14:paraId="4602FE25" w14:textId="77777777" w:rsidR="00BD6748" w:rsidRPr="001B4C86" w:rsidRDefault="00BD6748" w:rsidP="0094003E">
      <w:pPr>
        <w:widowControl w:val="0"/>
        <w:autoSpaceDE w:val="0"/>
        <w:autoSpaceDN w:val="0"/>
        <w:adjustRightInd w:val="0"/>
        <w:spacing w:after="0" w:line="240" w:lineRule="atLeast"/>
        <w:rPr>
          <w:rFonts w:ascii="Arial" w:hAnsi="Arial" w:cs="Arial"/>
          <w:sz w:val="24"/>
          <w:szCs w:val="24"/>
          <w:lang w:val="en-US"/>
        </w:rPr>
      </w:pPr>
    </w:p>
    <w:p w14:paraId="7BDCA0F0" w14:textId="77777777" w:rsidR="00BD6748" w:rsidRPr="001B4C86" w:rsidRDefault="00BD6748" w:rsidP="0094003E">
      <w:pPr>
        <w:widowControl w:val="0"/>
        <w:autoSpaceDE w:val="0"/>
        <w:autoSpaceDN w:val="0"/>
        <w:adjustRightInd w:val="0"/>
        <w:spacing w:after="0" w:line="240" w:lineRule="atLeast"/>
        <w:rPr>
          <w:rFonts w:ascii="Arial" w:hAnsi="Arial" w:cs="Arial"/>
          <w:sz w:val="24"/>
          <w:szCs w:val="24"/>
          <w:lang w:val="en-US"/>
        </w:rPr>
      </w:pPr>
    </w:p>
    <w:p w14:paraId="66EB3373" w14:textId="77777777" w:rsidR="00BD6748" w:rsidRPr="001B4C86" w:rsidRDefault="00BD6748" w:rsidP="0094003E">
      <w:pPr>
        <w:widowControl w:val="0"/>
        <w:autoSpaceDE w:val="0"/>
        <w:autoSpaceDN w:val="0"/>
        <w:adjustRightInd w:val="0"/>
        <w:spacing w:after="0" w:line="240" w:lineRule="atLeast"/>
        <w:rPr>
          <w:rFonts w:ascii="Arial" w:hAnsi="Arial" w:cs="Arial"/>
          <w:b/>
          <w:sz w:val="24"/>
          <w:szCs w:val="24"/>
        </w:rPr>
      </w:pPr>
    </w:p>
    <w:p w14:paraId="1077AC41" w14:textId="4E7285AA" w:rsidR="00BD6748" w:rsidRPr="001B4C86" w:rsidRDefault="00BD6748" w:rsidP="00BD6748">
      <w:pPr>
        <w:spacing w:line="480" w:lineRule="auto"/>
        <w:rPr>
          <w:rFonts w:ascii="Arial" w:hAnsi="Arial" w:cs="Arial"/>
          <w:sz w:val="24"/>
          <w:szCs w:val="24"/>
        </w:rPr>
      </w:pPr>
      <w:r w:rsidRPr="001B4C86">
        <w:rPr>
          <w:rFonts w:ascii="Arial" w:hAnsi="Arial" w:cs="Arial"/>
          <w:sz w:val="24"/>
          <w:szCs w:val="24"/>
        </w:rPr>
        <w:t xml:space="preserve">Key words: Cryptococcal meningitis, treatment, </w:t>
      </w:r>
      <w:r w:rsidR="001C79FC" w:rsidRPr="001B4C86">
        <w:rPr>
          <w:rFonts w:ascii="Arial" w:hAnsi="Arial" w:cs="Arial"/>
          <w:sz w:val="24"/>
          <w:szCs w:val="24"/>
        </w:rPr>
        <w:t>long</w:t>
      </w:r>
      <w:r w:rsidR="0094234D" w:rsidRPr="001B4C86">
        <w:rPr>
          <w:rFonts w:ascii="Arial" w:hAnsi="Arial" w:cs="Arial"/>
          <w:sz w:val="24"/>
          <w:szCs w:val="24"/>
        </w:rPr>
        <w:t>-</w:t>
      </w:r>
      <w:r w:rsidR="001C79FC" w:rsidRPr="001B4C86">
        <w:rPr>
          <w:rFonts w:ascii="Arial" w:hAnsi="Arial" w:cs="Arial"/>
          <w:sz w:val="24"/>
          <w:szCs w:val="24"/>
        </w:rPr>
        <w:t>term follow</w:t>
      </w:r>
      <w:r w:rsidR="0094234D" w:rsidRPr="001B4C86">
        <w:rPr>
          <w:rFonts w:ascii="Arial" w:hAnsi="Arial" w:cs="Arial"/>
          <w:sz w:val="24"/>
          <w:szCs w:val="24"/>
        </w:rPr>
        <w:t>-</w:t>
      </w:r>
      <w:r w:rsidR="001C79FC" w:rsidRPr="001B4C86">
        <w:rPr>
          <w:rFonts w:ascii="Arial" w:hAnsi="Arial" w:cs="Arial"/>
          <w:sz w:val="24"/>
          <w:szCs w:val="24"/>
        </w:rPr>
        <w:t>up</w:t>
      </w:r>
      <w:r w:rsidR="00206C2E" w:rsidRPr="001B4C86">
        <w:rPr>
          <w:rFonts w:ascii="Arial" w:hAnsi="Arial" w:cs="Arial"/>
          <w:sz w:val="24"/>
          <w:szCs w:val="24"/>
        </w:rPr>
        <w:t>, Malawi, HIV</w:t>
      </w:r>
    </w:p>
    <w:p w14:paraId="62AA6021" w14:textId="21C1E4AC" w:rsidR="00BD6748" w:rsidRPr="001B4C86" w:rsidRDefault="00BD6748" w:rsidP="00AB353D">
      <w:pPr>
        <w:spacing w:after="0" w:line="480" w:lineRule="auto"/>
        <w:rPr>
          <w:rFonts w:ascii="Arial" w:hAnsi="Arial" w:cs="Arial"/>
          <w:sz w:val="24"/>
          <w:szCs w:val="24"/>
        </w:rPr>
      </w:pPr>
      <w:r w:rsidRPr="001B4C86">
        <w:rPr>
          <w:rFonts w:ascii="Arial" w:hAnsi="Arial" w:cs="Arial"/>
          <w:sz w:val="24"/>
          <w:szCs w:val="24"/>
        </w:rPr>
        <w:t>Running head:</w:t>
      </w:r>
      <w:r w:rsidR="001C79FC" w:rsidRPr="001B4C86">
        <w:rPr>
          <w:rFonts w:ascii="Arial" w:hAnsi="Arial" w:cs="Arial"/>
          <w:sz w:val="24"/>
          <w:szCs w:val="24"/>
        </w:rPr>
        <w:t xml:space="preserve"> ACTA trial long-term follow-up</w:t>
      </w:r>
    </w:p>
    <w:p w14:paraId="7CD4477C" w14:textId="36B77897" w:rsidR="00797065" w:rsidRPr="001B4C86" w:rsidRDefault="00BD6748" w:rsidP="00750C7C">
      <w:pPr>
        <w:spacing w:after="0" w:line="240" w:lineRule="auto"/>
        <w:rPr>
          <w:rFonts w:ascii="Arial" w:hAnsi="Arial" w:cs="Arial"/>
          <w:sz w:val="24"/>
          <w:szCs w:val="24"/>
        </w:rPr>
      </w:pPr>
      <w:r w:rsidRPr="001B4C86">
        <w:rPr>
          <w:rFonts w:ascii="Arial" w:hAnsi="Arial" w:cs="Arial"/>
          <w:sz w:val="24"/>
          <w:szCs w:val="24"/>
        </w:rPr>
        <w:t xml:space="preserve">Corresponding author:  </w:t>
      </w:r>
      <w:r w:rsidRPr="001B4C86" w:rsidDel="00B0227A">
        <w:rPr>
          <w:rFonts w:ascii="Arial" w:hAnsi="Arial" w:cs="Arial"/>
          <w:sz w:val="24"/>
          <w:szCs w:val="24"/>
        </w:rPr>
        <w:t xml:space="preserve">Dr </w:t>
      </w:r>
      <w:proofErr w:type="spellStart"/>
      <w:r w:rsidR="00626D93" w:rsidRPr="001B4C86">
        <w:rPr>
          <w:rFonts w:ascii="Arial" w:hAnsi="Arial" w:cs="Arial"/>
          <w:sz w:val="24"/>
          <w:szCs w:val="24"/>
        </w:rPr>
        <w:t>Sí</w:t>
      </w:r>
      <w:r w:rsidR="001C79FC" w:rsidRPr="001B4C86" w:rsidDel="00B0227A">
        <w:rPr>
          <w:rFonts w:ascii="Arial" w:hAnsi="Arial" w:cs="Arial"/>
          <w:sz w:val="24"/>
          <w:szCs w:val="24"/>
        </w:rPr>
        <w:t>le</w:t>
      </w:r>
      <w:proofErr w:type="spellEnd"/>
      <w:r w:rsidR="001C79FC" w:rsidRPr="001B4C86" w:rsidDel="00B0227A">
        <w:rPr>
          <w:rFonts w:ascii="Arial" w:hAnsi="Arial" w:cs="Arial"/>
          <w:sz w:val="24"/>
          <w:szCs w:val="24"/>
        </w:rPr>
        <w:t xml:space="preserve"> Molloy</w:t>
      </w:r>
    </w:p>
    <w:p w14:paraId="127F3C83" w14:textId="77777777" w:rsidR="00797065" w:rsidRPr="001B4C86" w:rsidRDefault="00BD6748" w:rsidP="00750C7C">
      <w:pPr>
        <w:spacing w:after="0" w:line="240" w:lineRule="auto"/>
        <w:rPr>
          <w:rFonts w:ascii="Arial" w:hAnsi="Arial" w:cs="Arial"/>
          <w:sz w:val="24"/>
          <w:szCs w:val="24"/>
        </w:rPr>
      </w:pPr>
      <w:r w:rsidRPr="001B4C86" w:rsidDel="00B0227A">
        <w:rPr>
          <w:rFonts w:ascii="Arial" w:hAnsi="Arial" w:cs="Arial"/>
          <w:sz w:val="24"/>
          <w:szCs w:val="24"/>
        </w:rPr>
        <w:t xml:space="preserve">Centre for Global Health, </w:t>
      </w:r>
      <w:proofErr w:type="spellStart"/>
      <w:r w:rsidRPr="001B4C86" w:rsidDel="00B0227A">
        <w:rPr>
          <w:rFonts w:ascii="Arial" w:hAnsi="Arial" w:cs="Arial"/>
          <w:sz w:val="24"/>
          <w:szCs w:val="24"/>
        </w:rPr>
        <w:t>Insitute</w:t>
      </w:r>
      <w:proofErr w:type="spellEnd"/>
      <w:r w:rsidRPr="001B4C86" w:rsidDel="00B0227A">
        <w:rPr>
          <w:rFonts w:ascii="Arial" w:hAnsi="Arial" w:cs="Arial"/>
          <w:sz w:val="24"/>
          <w:szCs w:val="24"/>
        </w:rPr>
        <w:t xml:space="preserve"> for In</w:t>
      </w:r>
      <w:r w:rsidR="001737D9" w:rsidRPr="001B4C86" w:rsidDel="00B0227A">
        <w:rPr>
          <w:rFonts w:ascii="Arial" w:hAnsi="Arial" w:cs="Arial"/>
          <w:sz w:val="24"/>
          <w:szCs w:val="24"/>
        </w:rPr>
        <w:t>fectio</w:t>
      </w:r>
      <w:r w:rsidRPr="001B4C86" w:rsidDel="00B0227A">
        <w:rPr>
          <w:rFonts w:ascii="Arial" w:hAnsi="Arial" w:cs="Arial"/>
          <w:sz w:val="24"/>
          <w:szCs w:val="24"/>
        </w:rPr>
        <w:t xml:space="preserve">n and Immunity, St George’s University </w:t>
      </w:r>
      <w:proofErr w:type="spellStart"/>
      <w:r w:rsidRPr="001B4C86" w:rsidDel="00B0227A">
        <w:rPr>
          <w:rFonts w:ascii="Arial" w:hAnsi="Arial" w:cs="Arial"/>
          <w:sz w:val="24"/>
          <w:szCs w:val="24"/>
        </w:rPr>
        <w:t>fo</w:t>
      </w:r>
      <w:proofErr w:type="spellEnd"/>
      <w:r w:rsidRPr="001B4C86" w:rsidDel="00B0227A">
        <w:rPr>
          <w:rFonts w:ascii="Arial" w:hAnsi="Arial" w:cs="Arial"/>
          <w:sz w:val="24"/>
          <w:szCs w:val="24"/>
        </w:rPr>
        <w:t xml:space="preserve"> London, London SW17 </w:t>
      </w:r>
      <w:proofErr w:type="gramStart"/>
      <w:r w:rsidRPr="001B4C86" w:rsidDel="00B0227A">
        <w:rPr>
          <w:rFonts w:ascii="Arial" w:hAnsi="Arial" w:cs="Arial"/>
          <w:sz w:val="24"/>
          <w:szCs w:val="24"/>
        </w:rPr>
        <w:t>ORE ,</w:t>
      </w:r>
      <w:proofErr w:type="gramEnd"/>
      <w:r w:rsidRPr="001B4C86" w:rsidDel="00B0227A">
        <w:rPr>
          <w:rFonts w:ascii="Arial" w:hAnsi="Arial" w:cs="Arial"/>
          <w:sz w:val="24"/>
          <w:szCs w:val="24"/>
        </w:rPr>
        <w:t xml:space="preserve"> UK </w:t>
      </w:r>
    </w:p>
    <w:p w14:paraId="00879975" w14:textId="77777777" w:rsidR="00797065" w:rsidRPr="001B4C86" w:rsidRDefault="00BD6748" w:rsidP="00750C7C">
      <w:pPr>
        <w:spacing w:after="0" w:line="240" w:lineRule="auto"/>
        <w:rPr>
          <w:rFonts w:ascii="Arial" w:hAnsi="Arial" w:cs="Arial"/>
          <w:sz w:val="24"/>
          <w:szCs w:val="24"/>
        </w:rPr>
      </w:pPr>
      <w:r w:rsidRPr="001B4C86" w:rsidDel="00B0227A">
        <w:rPr>
          <w:rFonts w:ascii="Arial" w:hAnsi="Arial" w:cs="Arial"/>
          <w:sz w:val="24"/>
          <w:szCs w:val="24"/>
        </w:rPr>
        <w:t xml:space="preserve">Tel 0044 208 </w:t>
      </w:r>
      <w:r w:rsidR="0094234D" w:rsidRPr="001B4C86" w:rsidDel="00B0227A">
        <w:rPr>
          <w:rFonts w:ascii="Arial" w:hAnsi="Arial" w:cs="Arial"/>
          <w:sz w:val="24"/>
          <w:szCs w:val="24"/>
        </w:rPr>
        <w:t>725</w:t>
      </w:r>
      <w:r w:rsidR="0094234D" w:rsidRPr="001B4C86">
        <w:rPr>
          <w:rFonts w:ascii="Arial" w:hAnsi="Arial" w:cs="Arial"/>
          <w:sz w:val="24"/>
          <w:szCs w:val="24"/>
        </w:rPr>
        <w:t>5613</w:t>
      </w:r>
    </w:p>
    <w:p w14:paraId="67E99DCB" w14:textId="7989B743" w:rsidR="00BD6748" w:rsidRPr="001B4C86" w:rsidRDefault="00750C7C" w:rsidP="00750C7C">
      <w:pPr>
        <w:spacing w:after="0" w:line="240" w:lineRule="auto"/>
        <w:rPr>
          <w:rFonts w:ascii="Arial" w:hAnsi="Arial" w:cs="Arial"/>
          <w:sz w:val="24"/>
          <w:szCs w:val="24"/>
        </w:rPr>
      </w:pPr>
      <w:r w:rsidRPr="001B4C86">
        <w:rPr>
          <w:rFonts w:ascii="Arial" w:hAnsi="Arial" w:cs="Arial"/>
          <w:sz w:val="24"/>
          <w:szCs w:val="24"/>
        </w:rPr>
        <w:t>E</w:t>
      </w:r>
      <w:r w:rsidR="00BD6748" w:rsidRPr="001B4C86" w:rsidDel="00B0227A">
        <w:rPr>
          <w:rFonts w:ascii="Arial" w:hAnsi="Arial" w:cs="Arial"/>
          <w:sz w:val="24"/>
          <w:szCs w:val="24"/>
        </w:rPr>
        <w:t>mail</w:t>
      </w:r>
      <w:r w:rsidR="00797065" w:rsidRPr="001B4C86">
        <w:rPr>
          <w:rFonts w:ascii="Arial" w:hAnsi="Arial" w:cs="Arial"/>
          <w:sz w:val="24"/>
          <w:szCs w:val="24"/>
        </w:rPr>
        <w:t xml:space="preserve">: </w:t>
      </w:r>
      <w:hyperlink r:id="rId8" w:history="1">
        <w:r w:rsidRPr="001B4C86" w:rsidDel="00B0227A">
          <w:rPr>
            <w:rStyle w:val="Hyperlink"/>
            <w:rFonts w:ascii="Arial" w:hAnsi="Arial" w:cs="Arial"/>
            <w:color w:val="auto"/>
            <w:sz w:val="24"/>
            <w:szCs w:val="24"/>
          </w:rPr>
          <w:t>smolloy@sgul.ac.uk</w:t>
        </w:r>
      </w:hyperlink>
    </w:p>
    <w:p w14:paraId="0362EC11" w14:textId="47081983" w:rsidR="00750C7C" w:rsidRPr="001B4C86" w:rsidRDefault="00750C7C" w:rsidP="00750C7C">
      <w:pPr>
        <w:spacing w:after="0" w:line="240" w:lineRule="auto"/>
        <w:rPr>
          <w:rFonts w:ascii="Arial" w:hAnsi="Arial" w:cs="Arial"/>
          <w:sz w:val="24"/>
          <w:szCs w:val="24"/>
        </w:rPr>
      </w:pPr>
    </w:p>
    <w:p w14:paraId="1CC79321" w14:textId="501F7EFA" w:rsidR="00750C7C" w:rsidRPr="001B4C86" w:rsidRDefault="00750C7C" w:rsidP="00750C7C">
      <w:pPr>
        <w:spacing w:after="0" w:line="240" w:lineRule="auto"/>
        <w:rPr>
          <w:rFonts w:ascii="Arial" w:hAnsi="Arial" w:cs="Arial"/>
          <w:sz w:val="24"/>
          <w:szCs w:val="24"/>
        </w:rPr>
      </w:pPr>
      <w:r w:rsidRPr="001B4C86">
        <w:rPr>
          <w:rFonts w:ascii="Arial" w:hAnsi="Arial" w:cs="Arial"/>
          <w:sz w:val="24"/>
          <w:szCs w:val="24"/>
        </w:rPr>
        <w:t xml:space="preserve">Alternate corresponding author: Dr Cecilia </w:t>
      </w:r>
      <w:proofErr w:type="spellStart"/>
      <w:r w:rsidRPr="001B4C86">
        <w:rPr>
          <w:rFonts w:ascii="Arial" w:hAnsi="Arial" w:cs="Arial"/>
          <w:sz w:val="24"/>
          <w:szCs w:val="24"/>
        </w:rPr>
        <w:t>Kanyama</w:t>
      </w:r>
      <w:proofErr w:type="spellEnd"/>
    </w:p>
    <w:p w14:paraId="200FD76E" w14:textId="77777777" w:rsidR="00750C7C" w:rsidRPr="001B4C86" w:rsidRDefault="00750C7C" w:rsidP="00750C7C">
      <w:pPr>
        <w:spacing w:after="0" w:line="200" w:lineRule="atLeast"/>
        <w:rPr>
          <w:rFonts w:ascii="Arial" w:eastAsia="Times New Roman" w:hAnsi="Arial" w:cs="Arial"/>
          <w:sz w:val="24"/>
          <w:szCs w:val="24"/>
        </w:rPr>
      </w:pPr>
      <w:r w:rsidRPr="001B4C86">
        <w:rPr>
          <w:rFonts w:ascii="Arial" w:eastAsia="Times New Roman" w:hAnsi="Arial" w:cs="Arial"/>
          <w:sz w:val="24"/>
          <w:szCs w:val="24"/>
        </w:rPr>
        <w:t>University of North Carolina Project-Malawi, Kamuzu Central Hospital, Lilongwe, Malawi</w:t>
      </w:r>
    </w:p>
    <w:p w14:paraId="63571D67" w14:textId="0840071F" w:rsidR="00750C7C" w:rsidRPr="001B4C86" w:rsidRDefault="00750C7C" w:rsidP="00750C7C">
      <w:pPr>
        <w:spacing w:after="0" w:line="240" w:lineRule="auto"/>
        <w:rPr>
          <w:rFonts w:ascii="Arial" w:hAnsi="Arial" w:cs="Arial"/>
          <w:sz w:val="24"/>
          <w:szCs w:val="24"/>
        </w:rPr>
      </w:pPr>
      <w:r w:rsidRPr="001B4C86">
        <w:rPr>
          <w:rFonts w:ascii="Arial" w:hAnsi="Arial" w:cs="Arial"/>
          <w:sz w:val="24"/>
          <w:szCs w:val="24"/>
        </w:rPr>
        <w:t>Email: ckanyama@unclilongwe.org</w:t>
      </w:r>
    </w:p>
    <w:p w14:paraId="5E9E7199" w14:textId="77777777" w:rsidR="00BD6748" w:rsidRPr="001B4C86" w:rsidRDefault="00BD6748">
      <w:pPr>
        <w:rPr>
          <w:rFonts w:ascii="Arial" w:hAnsi="Arial" w:cs="Arial"/>
          <w:b/>
          <w:sz w:val="24"/>
          <w:szCs w:val="24"/>
        </w:rPr>
      </w:pPr>
      <w:r w:rsidRPr="001B4C86">
        <w:rPr>
          <w:rFonts w:ascii="Arial" w:hAnsi="Arial" w:cs="Arial"/>
          <w:b/>
          <w:sz w:val="24"/>
          <w:szCs w:val="24"/>
        </w:rPr>
        <w:br w:type="page"/>
      </w:r>
    </w:p>
    <w:p w14:paraId="6568F63E" w14:textId="5C376559" w:rsidR="006A2DB6" w:rsidRPr="001B4C86" w:rsidRDefault="006A2DB6" w:rsidP="00BD6748">
      <w:pPr>
        <w:spacing w:after="0" w:line="480" w:lineRule="auto"/>
        <w:outlineLvl w:val="0"/>
        <w:rPr>
          <w:rFonts w:ascii="Arial" w:hAnsi="Arial" w:cs="Arial"/>
          <w:b/>
          <w:sz w:val="24"/>
          <w:szCs w:val="24"/>
        </w:rPr>
      </w:pPr>
      <w:r w:rsidRPr="001B4C86">
        <w:rPr>
          <w:rFonts w:ascii="Arial" w:hAnsi="Arial" w:cs="Arial"/>
          <w:b/>
          <w:sz w:val="24"/>
          <w:szCs w:val="24"/>
        </w:rPr>
        <w:lastRenderedPageBreak/>
        <w:t>Abstract</w:t>
      </w:r>
      <w:r w:rsidR="004F28CA" w:rsidRPr="001B4C86">
        <w:rPr>
          <w:rFonts w:ascii="Arial" w:hAnsi="Arial" w:cs="Arial"/>
          <w:b/>
          <w:sz w:val="24"/>
          <w:szCs w:val="24"/>
        </w:rPr>
        <w:t xml:space="preserve"> </w:t>
      </w:r>
    </w:p>
    <w:p w14:paraId="33459395" w14:textId="331A182D" w:rsidR="008A6227" w:rsidRPr="001B4C86" w:rsidRDefault="00FA0511" w:rsidP="00BD6748">
      <w:pPr>
        <w:spacing w:line="480" w:lineRule="auto"/>
        <w:rPr>
          <w:rFonts w:ascii="Arial" w:hAnsi="Arial" w:cs="Arial"/>
          <w:b/>
          <w:sz w:val="24"/>
          <w:szCs w:val="24"/>
        </w:rPr>
      </w:pPr>
      <w:r w:rsidRPr="001B4C86">
        <w:rPr>
          <w:rFonts w:ascii="Arial" w:hAnsi="Arial" w:cs="Arial"/>
          <w:sz w:val="24"/>
          <w:szCs w:val="24"/>
        </w:rPr>
        <w:t xml:space="preserve">In Malawi, 236 </w:t>
      </w:r>
      <w:r w:rsidR="006D364E" w:rsidRPr="001B4C86">
        <w:rPr>
          <w:rFonts w:ascii="Arial" w:hAnsi="Arial" w:cs="Arial"/>
          <w:sz w:val="24"/>
          <w:szCs w:val="24"/>
        </w:rPr>
        <w:t>pa</w:t>
      </w:r>
      <w:r w:rsidR="00A50BEA" w:rsidRPr="001B4C86">
        <w:rPr>
          <w:rFonts w:ascii="Arial" w:hAnsi="Arial" w:cs="Arial"/>
          <w:sz w:val="24"/>
          <w:szCs w:val="24"/>
        </w:rPr>
        <w:t>r</w:t>
      </w:r>
      <w:r w:rsidR="006D364E" w:rsidRPr="001B4C86">
        <w:rPr>
          <w:rFonts w:ascii="Arial" w:hAnsi="Arial" w:cs="Arial"/>
          <w:sz w:val="24"/>
          <w:szCs w:val="24"/>
        </w:rPr>
        <w:t>ti</w:t>
      </w:r>
      <w:r w:rsidR="00A50BEA" w:rsidRPr="001B4C86">
        <w:rPr>
          <w:rFonts w:ascii="Arial" w:hAnsi="Arial" w:cs="Arial"/>
          <w:sz w:val="24"/>
          <w:szCs w:val="24"/>
        </w:rPr>
        <w:t>cipa</w:t>
      </w:r>
      <w:r w:rsidR="006D364E" w:rsidRPr="001B4C86">
        <w:rPr>
          <w:rFonts w:ascii="Arial" w:hAnsi="Arial" w:cs="Arial"/>
          <w:sz w:val="24"/>
          <w:szCs w:val="24"/>
        </w:rPr>
        <w:t xml:space="preserve">nts from the </w:t>
      </w:r>
      <w:r w:rsidR="00A50BEA" w:rsidRPr="001B4C86">
        <w:rPr>
          <w:rFonts w:ascii="Arial" w:hAnsi="Arial" w:cs="Arial"/>
          <w:sz w:val="24"/>
          <w:szCs w:val="24"/>
        </w:rPr>
        <w:t>ACTA c</w:t>
      </w:r>
      <w:r w:rsidR="004D6C81" w:rsidRPr="001B4C86">
        <w:rPr>
          <w:rFonts w:ascii="Arial" w:hAnsi="Arial" w:cs="Arial"/>
          <w:sz w:val="24"/>
          <w:szCs w:val="24"/>
        </w:rPr>
        <w:t xml:space="preserve">ryptococcal meningitis </w:t>
      </w:r>
      <w:r w:rsidR="006D364E" w:rsidRPr="001B4C86">
        <w:rPr>
          <w:rFonts w:ascii="Arial" w:hAnsi="Arial" w:cs="Arial"/>
          <w:sz w:val="24"/>
          <w:szCs w:val="24"/>
        </w:rPr>
        <w:t>treatment trial were followed</w:t>
      </w:r>
      <w:r w:rsidR="00705D70" w:rsidRPr="001B4C86">
        <w:rPr>
          <w:rFonts w:ascii="Arial" w:hAnsi="Arial" w:cs="Arial"/>
          <w:sz w:val="24"/>
          <w:szCs w:val="24"/>
        </w:rPr>
        <w:t>-up</w:t>
      </w:r>
      <w:r w:rsidR="006D364E" w:rsidRPr="001B4C86">
        <w:rPr>
          <w:rFonts w:ascii="Arial" w:hAnsi="Arial" w:cs="Arial"/>
          <w:sz w:val="24"/>
          <w:szCs w:val="24"/>
        </w:rPr>
        <w:t xml:space="preserve"> for 1</w:t>
      </w:r>
      <w:r w:rsidRPr="001B4C86">
        <w:rPr>
          <w:rFonts w:ascii="Arial" w:hAnsi="Arial" w:cs="Arial"/>
          <w:sz w:val="24"/>
          <w:szCs w:val="24"/>
        </w:rPr>
        <w:t>2</w:t>
      </w:r>
      <w:r w:rsidR="006D364E" w:rsidRPr="001B4C86">
        <w:rPr>
          <w:rFonts w:ascii="Arial" w:hAnsi="Arial" w:cs="Arial"/>
          <w:sz w:val="24"/>
          <w:szCs w:val="24"/>
        </w:rPr>
        <w:t xml:space="preserve"> </w:t>
      </w:r>
      <w:r w:rsidRPr="001B4C86">
        <w:rPr>
          <w:rFonts w:ascii="Arial" w:hAnsi="Arial" w:cs="Arial"/>
          <w:sz w:val="24"/>
          <w:szCs w:val="24"/>
        </w:rPr>
        <w:t>months</w:t>
      </w:r>
      <w:r w:rsidR="006D364E" w:rsidRPr="001B4C86">
        <w:rPr>
          <w:rFonts w:ascii="Arial" w:hAnsi="Arial" w:cs="Arial"/>
          <w:sz w:val="24"/>
          <w:szCs w:val="24"/>
        </w:rPr>
        <w:t xml:space="preserve">. </w:t>
      </w:r>
      <w:r w:rsidR="00046DCC" w:rsidRPr="001B4C86">
        <w:rPr>
          <w:rFonts w:ascii="Arial" w:hAnsi="Arial" w:cs="Arial"/>
          <w:sz w:val="24"/>
          <w:szCs w:val="24"/>
        </w:rPr>
        <w:t>The</w:t>
      </w:r>
      <w:r w:rsidR="004C14D7" w:rsidRPr="001B4C86">
        <w:rPr>
          <w:rFonts w:ascii="Arial" w:hAnsi="Arial" w:cs="Arial"/>
          <w:sz w:val="24"/>
          <w:szCs w:val="24"/>
        </w:rPr>
        <w:t xml:space="preserve"> trial</w:t>
      </w:r>
      <w:r w:rsidR="00046DCC" w:rsidRPr="001B4C86">
        <w:rPr>
          <w:rFonts w:ascii="Arial" w:hAnsi="Arial" w:cs="Arial"/>
          <w:sz w:val="24"/>
          <w:szCs w:val="24"/>
        </w:rPr>
        <w:t xml:space="preserve"> o</w:t>
      </w:r>
      <w:r w:rsidR="00A50BEA" w:rsidRPr="001B4C86">
        <w:rPr>
          <w:rFonts w:ascii="Arial" w:hAnsi="Arial" w:cs="Arial"/>
          <w:sz w:val="24"/>
          <w:szCs w:val="24"/>
        </w:rPr>
        <w:t xml:space="preserve">utcomes </w:t>
      </w:r>
      <w:r w:rsidR="004C14D7" w:rsidRPr="001B4C86">
        <w:rPr>
          <w:rFonts w:ascii="Arial" w:hAnsi="Arial" w:cs="Arial"/>
          <w:sz w:val="24"/>
          <w:szCs w:val="24"/>
        </w:rPr>
        <w:t xml:space="preserve">reported at 10 weeks </w:t>
      </w:r>
      <w:r w:rsidR="00786C1E" w:rsidRPr="001B4C86">
        <w:rPr>
          <w:rFonts w:ascii="Arial" w:hAnsi="Arial" w:cs="Arial"/>
          <w:sz w:val="24"/>
          <w:szCs w:val="24"/>
        </w:rPr>
        <w:t xml:space="preserve">were sustained to 1 year. </w:t>
      </w:r>
      <w:r w:rsidR="00E55432" w:rsidRPr="001B4C86">
        <w:rPr>
          <w:rFonts w:ascii="Arial" w:hAnsi="Arial" w:cs="Arial"/>
          <w:sz w:val="24"/>
          <w:szCs w:val="24"/>
        </w:rPr>
        <w:t>One</w:t>
      </w:r>
      <w:r w:rsidR="00786C1E" w:rsidRPr="001B4C86">
        <w:rPr>
          <w:rFonts w:ascii="Arial" w:hAnsi="Arial" w:cs="Arial"/>
          <w:sz w:val="24"/>
          <w:szCs w:val="24"/>
        </w:rPr>
        <w:t>-</w:t>
      </w:r>
      <w:r w:rsidR="00A50BEA" w:rsidRPr="001B4C86">
        <w:rPr>
          <w:rFonts w:ascii="Arial" w:hAnsi="Arial" w:cs="Arial"/>
          <w:sz w:val="24"/>
          <w:szCs w:val="24"/>
        </w:rPr>
        <w:t xml:space="preserve">week </w:t>
      </w:r>
      <w:proofErr w:type="spellStart"/>
      <w:r w:rsidR="00A50BEA" w:rsidRPr="001B4C86">
        <w:rPr>
          <w:rFonts w:ascii="Arial" w:hAnsi="Arial" w:cs="Arial"/>
          <w:sz w:val="24"/>
          <w:szCs w:val="24"/>
        </w:rPr>
        <w:t>a</w:t>
      </w:r>
      <w:r w:rsidR="006D364E" w:rsidRPr="001B4C86">
        <w:rPr>
          <w:rFonts w:ascii="Arial" w:hAnsi="Arial" w:cs="Arial"/>
          <w:sz w:val="24"/>
          <w:szCs w:val="24"/>
        </w:rPr>
        <w:t>m</w:t>
      </w:r>
      <w:r w:rsidR="0097216C" w:rsidRPr="001B4C86">
        <w:rPr>
          <w:rFonts w:ascii="Arial" w:hAnsi="Arial" w:cs="Arial"/>
          <w:sz w:val="24"/>
          <w:szCs w:val="24"/>
        </w:rPr>
        <w:t>photericinB</w:t>
      </w:r>
      <w:proofErr w:type="spellEnd"/>
      <w:r w:rsidR="00E55432" w:rsidRPr="001B4C86">
        <w:rPr>
          <w:rFonts w:ascii="Arial" w:hAnsi="Arial" w:cs="Arial"/>
          <w:sz w:val="24"/>
          <w:szCs w:val="24"/>
        </w:rPr>
        <w:t xml:space="preserve"> plus </w:t>
      </w:r>
      <w:r w:rsidR="0097216C" w:rsidRPr="001B4C86">
        <w:rPr>
          <w:rFonts w:ascii="Arial" w:hAnsi="Arial" w:cs="Arial"/>
          <w:sz w:val="24"/>
          <w:szCs w:val="24"/>
        </w:rPr>
        <w:t>flucytosine</w:t>
      </w:r>
      <w:r w:rsidR="006D364E" w:rsidRPr="001B4C86">
        <w:rPr>
          <w:rFonts w:ascii="Arial" w:hAnsi="Arial" w:cs="Arial"/>
          <w:sz w:val="24"/>
          <w:szCs w:val="24"/>
        </w:rPr>
        <w:t xml:space="preserve"> </w:t>
      </w:r>
      <w:r w:rsidR="00A50BEA" w:rsidRPr="001B4C86">
        <w:rPr>
          <w:rFonts w:ascii="Arial" w:hAnsi="Arial" w:cs="Arial"/>
          <w:sz w:val="24"/>
          <w:szCs w:val="24"/>
        </w:rPr>
        <w:t>was associated with</w:t>
      </w:r>
      <w:r w:rsidR="006D364E" w:rsidRPr="001B4C86">
        <w:rPr>
          <w:rFonts w:ascii="Arial" w:hAnsi="Arial" w:cs="Arial"/>
          <w:sz w:val="24"/>
          <w:szCs w:val="24"/>
        </w:rPr>
        <w:t xml:space="preserve"> </w:t>
      </w:r>
      <w:r w:rsidR="003750E8" w:rsidRPr="001B4C86">
        <w:rPr>
          <w:rFonts w:ascii="Arial" w:hAnsi="Arial" w:cs="Arial"/>
          <w:sz w:val="24"/>
          <w:szCs w:val="24"/>
        </w:rPr>
        <w:t xml:space="preserve">the </w:t>
      </w:r>
      <w:r w:rsidR="006D364E" w:rsidRPr="001B4C86">
        <w:rPr>
          <w:rFonts w:ascii="Arial" w:hAnsi="Arial" w:cs="Arial"/>
          <w:sz w:val="24"/>
          <w:szCs w:val="24"/>
        </w:rPr>
        <w:t>lowe</w:t>
      </w:r>
      <w:r w:rsidR="003750E8" w:rsidRPr="001B4C86">
        <w:rPr>
          <w:rFonts w:ascii="Arial" w:hAnsi="Arial" w:cs="Arial"/>
          <w:sz w:val="24"/>
          <w:szCs w:val="24"/>
        </w:rPr>
        <w:t xml:space="preserve">st </w:t>
      </w:r>
      <w:proofErr w:type="gramStart"/>
      <w:r w:rsidR="003750E8" w:rsidRPr="001B4C86">
        <w:rPr>
          <w:rFonts w:ascii="Arial" w:hAnsi="Arial" w:cs="Arial"/>
          <w:sz w:val="24"/>
          <w:szCs w:val="24"/>
        </w:rPr>
        <w:t>1 year</w:t>
      </w:r>
      <w:proofErr w:type="gramEnd"/>
      <w:r w:rsidR="006D364E" w:rsidRPr="001B4C86">
        <w:rPr>
          <w:rFonts w:ascii="Arial" w:hAnsi="Arial" w:cs="Arial"/>
          <w:sz w:val="24"/>
          <w:szCs w:val="24"/>
        </w:rPr>
        <w:t xml:space="preserve"> mortality</w:t>
      </w:r>
      <w:r w:rsidRPr="001B4C86">
        <w:rPr>
          <w:rFonts w:ascii="Arial" w:hAnsi="Arial" w:cs="Arial"/>
          <w:sz w:val="24"/>
          <w:szCs w:val="24"/>
        </w:rPr>
        <w:t xml:space="preserve"> (27.5% [95%CI: 16.3 to 44.1])</w:t>
      </w:r>
      <w:r w:rsidR="00F12034" w:rsidRPr="001B4C86">
        <w:rPr>
          <w:rFonts w:ascii="Arial" w:hAnsi="Arial" w:cs="Arial"/>
          <w:sz w:val="24"/>
          <w:szCs w:val="24"/>
        </w:rPr>
        <w:t xml:space="preserve">. </w:t>
      </w:r>
      <w:bookmarkEnd w:id="1"/>
      <w:r w:rsidR="008A6227" w:rsidRPr="001B4C86">
        <w:rPr>
          <w:rFonts w:ascii="Arial" w:hAnsi="Arial" w:cs="Arial"/>
          <w:b/>
          <w:sz w:val="24"/>
          <w:szCs w:val="24"/>
        </w:rPr>
        <w:br w:type="page"/>
      </w:r>
    </w:p>
    <w:p w14:paraId="18FDE28F" w14:textId="2DBC7E49" w:rsidR="00AE39AE" w:rsidRPr="001B4C86" w:rsidRDefault="007B35ED" w:rsidP="00BD6748">
      <w:pPr>
        <w:spacing w:line="480" w:lineRule="auto"/>
        <w:outlineLvl w:val="0"/>
        <w:rPr>
          <w:rFonts w:ascii="Arial" w:hAnsi="Arial" w:cs="Arial"/>
          <w:sz w:val="24"/>
          <w:szCs w:val="24"/>
        </w:rPr>
      </w:pPr>
      <w:r w:rsidRPr="001B4C86">
        <w:rPr>
          <w:rFonts w:ascii="Arial" w:hAnsi="Arial" w:cs="Arial"/>
          <w:b/>
          <w:sz w:val="24"/>
          <w:szCs w:val="24"/>
        </w:rPr>
        <w:lastRenderedPageBreak/>
        <w:t>Background</w:t>
      </w:r>
    </w:p>
    <w:p w14:paraId="517821F9" w14:textId="0329203A" w:rsidR="00BD03EA" w:rsidRPr="001B4C86" w:rsidRDefault="006A2DB6" w:rsidP="00BD6748">
      <w:pPr>
        <w:spacing w:after="0" w:line="480" w:lineRule="auto"/>
        <w:rPr>
          <w:rFonts w:ascii="Arial" w:hAnsi="Arial" w:cs="Arial"/>
          <w:sz w:val="24"/>
          <w:szCs w:val="24"/>
        </w:rPr>
      </w:pPr>
      <w:r w:rsidRPr="001B4C86">
        <w:rPr>
          <w:rFonts w:ascii="Arial" w:hAnsi="Arial" w:cs="Arial"/>
          <w:sz w:val="24"/>
          <w:szCs w:val="24"/>
        </w:rPr>
        <w:t>Mortality from cryptoco</w:t>
      </w:r>
      <w:r w:rsidR="00AF5F28" w:rsidRPr="001B4C86">
        <w:rPr>
          <w:rFonts w:ascii="Arial" w:hAnsi="Arial" w:cs="Arial"/>
          <w:sz w:val="24"/>
          <w:szCs w:val="24"/>
        </w:rPr>
        <w:t>c</w:t>
      </w:r>
      <w:r w:rsidRPr="001B4C86">
        <w:rPr>
          <w:rFonts w:ascii="Arial" w:hAnsi="Arial" w:cs="Arial"/>
          <w:sz w:val="24"/>
          <w:szCs w:val="24"/>
        </w:rPr>
        <w:t xml:space="preserve">cal meningitis </w:t>
      </w:r>
      <w:r w:rsidR="002C5A2D" w:rsidRPr="001B4C86">
        <w:rPr>
          <w:rFonts w:ascii="Arial" w:hAnsi="Arial" w:cs="Arial"/>
          <w:sz w:val="24"/>
          <w:szCs w:val="24"/>
        </w:rPr>
        <w:t xml:space="preserve">(CM) </w:t>
      </w:r>
      <w:r w:rsidRPr="001B4C86">
        <w:rPr>
          <w:rFonts w:ascii="Arial" w:hAnsi="Arial" w:cs="Arial"/>
          <w:sz w:val="24"/>
          <w:szCs w:val="24"/>
        </w:rPr>
        <w:t xml:space="preserve">remains </w:t>
      </w:r>
      <w:r w:rsidR="00F07248" w:rsidRPr="001B4C86">
        <w:rPr>
          <w:rFonts w:ascii="Arial" w:hAnsi="Arial" w:cs="Arial"/>
          <w:sz w:val="24"/>
          <w:szCs w:val="24"/>
        </w:rPr>
        <w:t xml:space="preserve">unacceptably </w:t>
      </w:r>
      <w:r w:rsidRPr="001B4C86">
        <w:rPr>
          <w:rFonts w:ascii="Arial" w:hAnsi="Arial" w:cs="Arial"/>
          <w:sz w:val="24"/>
          <w:szCs w:val="24"/>
        </w:rPr>
        <w:t xml:space="preserve">high </w:t>
      </w:r>
      <w:r w:rsidR="009607C8" w:rsidRPr="001B4C86">
        <w:rPr>
          <w:rFonts w:ascii="Arial" w:hAnsi="Arial" w:cs="Arial"/>
          <w:sz w:val="24"/>
          <w:szCs w:val="24"/>
        </w:rPr>
        <w:t xml:space="preserve">in </w:t>
      </w:r>
      <w:r w:rsidR="00F07248" w:rsidRPr="001B4C86">
        <w:rPr>
          <w:rFonts w:ascii="Arial" w:hAnsi="Arial" w:cs="Arial"/>
          <w:sz w:val="24"/>
          <w:szCs w:val="24"/>
        </w:rPr>
        <w:t>Sub-Saharan Africa</w:t>
      </w:r>
      <w:r w:rsidR="00CF3B84" w:rsidRPr="001B4C86">
        <w:rPr>
          <w:rFonts w:ascii="Arial" w:hAnsi="Arial" w:cs="Arial"/>
          <w:sz w:val="24"/>
          <w:szCs w:val="24"/>
        </w:rPr>
        <w:t xml:space="preserve"> </w:t>
      </w:r>
      <w:r w:rsidR="00C2460F" w:rsidRPr="001B4C86">
        <w:rPr>
          <w:rFonts w:ascii="Arial" w:hAnsi="Arial" w:cs="Arial"/>
          <w:sz w:val="24"/>
          <w:szCs w:val="24"/>
        </w:rPr>
        <w:fldChar w:fldCharType="begin">
          <w:fldData xml:space="preserve">PEVuZE5vdGU+PENpdGU+PEF1dGhvcj5SYWphc2luZ2hhbTwvQXV0aG9yPjxZZWFyPjIwMTc8L1ll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</w:fldData>
        </w:fldChar>
      </w:r>
      <w:r w:rsidR="001A255F" w:rsidRPr="001B4C86">
        <w:rPr>
          <w:rFonts w:ascii="Arial" w:hAnsi="Arial" w:cs="Arial"/>
          <w:sz w:val="24"/>
          <w:szCs w:val="24"/>
        </w:rPr>
        <w:instrText xml:space="preserve"> ADDIN EN.CITE </w:instrText>
      </w:r>
      <w:r w:rsidR="001A255F" w:rsidRPr="001B4C86">
        <w:rPr>
          <w:rFonts w:ascii="Arial" w:hAnsi="Arial" w:cs="Arial"/>
          <w:sz w:val="24"/>
          <w:szCs w:val="24"/>
        </w:rPr>
        <w:fldChar w:fldCharType="begin">
          <w:fldData xml:space="preserve">PEVuZE5vdGU+PENpdGU+PEF1dGhvcj5SYWphc2luZ2hhbTwvQXV0aG9yPjxZZWFyPjIwMTc8L1ll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</w:fldData>
        </w:fldChar>
      </w:r>
      <w:r w:rsidR="001A255F" w:rsidRPr="001B4C86">
        <w:rPr>
          <w:rFonts w:ascii="Arial" w:hAnsi="Arial" w:cs="Arial"/>
          <w:sz w:val="24"/>
          <w:szCs w:val="24"/>
        </w:rPr>
        <w:instrText xml:space="preserve"> ADDIN EN.CITE.DATA </w:instrText>
      </w:r>
      <w:r w:rsidR="001A255F" w:rsidRPr="001B4C86">
        <w:rPr>
          <w:rFonts w:ascii="Arial" w:hAnsi="Arial" w:cs="Arial"/>
          <w:sz w:val="24"/>
          <w:szCs w:val="24"/>
        </w:rPr>
      </w:r>
      <w:r w:rsidR="001A255F" w:rsidRPr="001B4C86">
        <w:rPr>
          <w:rFonts w:ascii="Arial" w:hAnsi="Arial" w:cs="Arial"/>
          <w:sz w:val="24"/>
          <w:szCs w:val="24"/>
        </w:rPr>
        <w:fldChar w:fldCharType="end"/>
      </w:r>
      <w:r w:rsidR="00C2460F" w:rsidRPr="001B4C86">
        <w:rPr>
          <w:rFonts w:ascii="Arial" w:hAnsi="Arial" w:cs="Arial"/>
          <w:sz w:val="24"/>
          <w:szCs w:val="24"/>
        </w:rPr>
      </w:r>
      <w:r w:rsidR="00C2460F" w:rsidRPr="001B4C86">
        <w:rPr>
          <w:rFonts w:ascii="Arial" w:hAnsi="Arial" w:cs="Arial"/>
          <w:sz w:val="24"/>
          <w:szCs w:val="24"/>
        </w:rPr>
        <w:fldChar w:fldCharType="separate"/>
      </w:r>
      <w:r w:rsidR="00C328AE" w:rsidRPr="001B4C86">
        <w:rPr>
          <w:rFonts w:ascii="Arial" w:hAnsi="Arial" w:cs="Arial"/>
          <w:noProof/>
          <w:sz w:val="24"/>
          <w:szCs w:val="24"/>
        </w:rPr>
        <w:t>[1]</w:t>
      </w:r>
      <w:r w:rsidR="00C2460F" w:rsidRPr="001B4C86">
        <w:rPr>
          <w:rFonts w:ascii="Arial" w:hAnsi="Arial" w:cs="Arial"/>
          <w:sz w:val="24"/>
          <w:szCs w:val="24"/>
        </w:rPr>
        <w:fldChar w:fldCharType="end"/>
      </w:r>
      <w:r w:rsidR="00C2460F" w:rsidRPr="001B4C86">
        <w:rPr>
          <w:rFonts w:ascii="Arial" w:hAnsi="Arial" w:cs="Arial"/>
          <w:sz w:val="24"/>
          <w:szCs w:val="24"/>
        </w:rPr>
        <w:t>.</w:t>
      </w:r>
      <w:r w:rsidRPr="001B4C86">
        <w:rPr>
          <w:rFonts w:ascii="Arial" w:hAnsi="Arial" w:cs="Arial"/>
          <w:sz w:val="24"/>
          <w:szCs w:val="24"/>
        </w:rPr>
        <w:t xml:space="preserve"> </w:t>
      </w:r>
      <w:r w:rsidR="007978A2" w:rsidRPr="001B4C86">
        <w:rPr>
          <w:rFonts w:ascii="Arial" w:hAnsi="Arial" w:cs="Arial"/>
          <w:sz w:val="24"/>
          <w:szCs w:val="24"/>
        </w:rPr>
        <w:t xml:space="preserve">The </w:t>
      </w:r>
      <w:r w:rsidR="00F07248" w:rsidRPr="001B4C86">
        <w:rPr>
          <w:rFonts w:ascii="Arial" w:hAnsi="Arial" w:cs="Arial"/>
          <w:sz w:val="24"/>
          <w:szCs w:val="24"/>
        </w:rPr>
        <w:t>most widely used treatment,</w:t>
      </w:r>
      <w:r w:rsidR="00AE39AE" w:rsidRPr="001B4C86">
        <w:rPr>
          <w:rFonts w:ascii="Arial" w:hAnsi="Arial" w:cs="Arial"/>
          <w:sz w:val="24"/>
          <w:szCs w:val="24"/>
        </w:rPr>
        <w:t xml:space="preserve"> </w:t>
      </w:r>
      <w:r w:rsidR="007978A2" w:rsidRPr="001B4C86">
        <w:rPr>
          <w:rFonts w:ascii="Arial" w:hAnsi="Arial" w:cs="Arial"/>
          <w:sz w:val="24"/>
          <w:szCs w:val="24"/>
        </w:rPr>
        <w:t>fluconazole</w:t>
      </w:r>
      <w:r w:rsidR="006A1F64" w:rsidRPr="001B4C86">
        <w:rPr>
          <w:rFonts w:ascii="Arial" w:hAnsi="Arial" w:cs="Arial"/>
          <w:sz w:val="24"/>
          <w:szCs w:val="24"/>
        </w:rPr>
        <w:t xml:space="preserve"> (FLU)</w:t>
      </w:r>
      <w:r w:rsidR="007978A2" w:rsidRPr="001B4C86">
        <w:rPr>
          <w:rFonts w:ascii="Arial" w:hAnsi="Arial" w:cs="Arial"/>
          <w:sz w:val="24"/>
          <w:szCs w:val="24"/>
        </w:rPr>
        <w:t xml:space="preserve"> monotherapy</w:t>
      </w:r>
      <w:r w:rsidR="00842859" w:rsidRPr="001B4C86">
        <w:rPr>
          <w:rFonts w:ascii="Arial" w:hAnsi="Arial" w:cs="Arial"/>
          <w:sz w:val="24"/>
          <w:szCs w:val="24"/>
        </w:rPr>
        <w:t xml:space="preserve"> </w:t>
      </w:r>
      <w:r w:rsidR="007978A2" w:rsidRPr="001B4C86">
        <w:rPr>
          <w:rFonts w:ascii="Arial" w:hAnsi="Arial" w:cs="Arial"/>
          <w:sz w:val="24"/>
          <w:szCs w:val="24"/>
        </w:rPr>
        <w:t>is associated with mortality of 50-60% at 10 weeks and &gt;70% at 1 year</w:t>
      </w:r>
      <w:r w:rsidR="00C2460F" w:rsidRPr="001B4C86">
        <w:rPr>
          <w:rFonts w:ascii="Arial" w:hAnsi="Arial" w:cs="Arial"/>
          <w:sz w:val="24"/>
          <w:szCs w:val="24"/>
        </w:rPr>
        <w:t xml:space="preserve"> </w:t>
      </w:r>
      <w:r w:rsidR="00C2460F" w:rsidRPr="001B4C86">
        <w:rPr>
          <w:rFonts w:ascii="Arial" w:hAnsi="Arial" w:cs="Arial"/>
          <w:sz w:val="24"/>
          <w:szCs w:val="24"/>
        </w:rPr>
        <w:fldChar w:fldCharType="begin">
          <w:fldData xml:space="preserve">PEVuZE5vdGU+PENpdGU+PEF1dGhvcj5HYXNrZWxsPC9BdXRob3I+PFllYXI+MjAxNDwvWWVhcj48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</w:fldData>
        </w:fldChar>
      </w:r>
      <w:r w:rsidR="001A255F" w:rsidRPr="001B4C86">
        <w:rPr>
          <w:rFonts w:ascii="Arial" w:hAnsi="Arial" w:cs="Arial"/>
          <w:sz w:val="24"/>
          <w:szCs w:val="24"/>
        </w:rPr>
        <w:instrText xml:space="preserve"> ADDIN EN.CITE </w:instrText>
      </w:r>
      <w:r w:rsidR="001A255F" w:rsidRPr="001B4C86">
        <w:rPr>
          <w:rFonts w:ascii="Arial" w:hAnsi="Arial" w:cs="Arial"/>
          <w:sz w:val="24"/>
          <w:szCs w:val="24"/>
        </w:rPr>
        <w:fldChar w:fldCharType="begin">
          <w:fldData xml:space="preserve">PEVuZE5vdGU+PENpdGU+PEF1dGhvcj5HYXNrZWxsPC9BdXRob3I+PFllYXI+MjAxNDwvWWVhcj48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</w:fldData>
        </w:fldChar>
      </w:r>
      <w:r w:rsidR="001A255F" w:rsidRPr="001B4C86">
        <w:rPr>
          <w:rFonts w:ascii="Arial" w:hAnsi="Arial" w:cs="Arial"/>
          <w:sz w:val="24"/>
          <w:szCs w:val="24"/>
        </w:rPr>
        <w:instrText xml:space="preserve"> ADDIN EN.CITE.DATA </w:instrText>
      </w:r>
      <w:r w:rsidR="001A255F" w:rsidRPr="001B4C86">
        <w:rPr>
          <w:rFonts w:ascii="Arial" w:hAnsi="Arial" w:cs="Arial"/>
          <w:sz w:val="24"/>
          <w:szCs w:val="24"/>
        </w:rPr>
      </w:r>
      <w:r w:rsidR="001A255F" w:rsidRPr="001B4C86">
        <w:rPr>
          <w:rFonts w:ascii="Arial" w:hAnsi="Arial" w:cs="Arial"/>
          <w:sz w:val="24"/>
          <w:szCs w:val="24"/>
        </w:rPr>
        <w:fldChar w:fldCharType="end"/>
      </w:r>
      <w:r w:rsidR="00C2460F" w:rsidRPr="001B4C86">
        <w:rPr>
          <w:rFonts w:ascii="Arial" w:hAnsi="Arial" w:cs="Arial"/>
          <w:sz w:val="24"/>
          <w:szCs w:val="24"/>
        </w:rPr>
      </w:r>
      <w:r w:rsidR="00C2460F" w:rsidRPr="001B4C86">
        <w:rPr>
          <w:rFonts w:ascii="Arial" w:hAnsi="Arial" w:cs="Arial"/>
          <w:sz w:val="24"/>
          <w:szCs w:val="24"/>
        </w:rPr>
        <w:fldChar w:fldCharType="separate"/>
      </w:r>
      <w:r w:rsidR="003058FB" w:rsidRPr="001B4C86">
        <w:rPr>
          <w:rFonts w:ascii="Arial" w:hAnsi="Arial" w:cs="Arial"/>
          <w:noProof/>
          <w:sz w:val="24"/>
          <w:szCs w:val="24"/>
        </w:rPr>
        <w:t>[2-5]</w:t>
      </w:r>
      <w:r w:rsidR="00C2460F" w:rsidRPr="001B4C86">
        <w:rPr>
          <w:rFonts w:ascii="Arial" w:hAnsi="Arial" w:cs="Arial"/>
          <w:sz w:val="24"/>
          <w:szCs w:val="24"/>
        </w:rPr>
        <w:fldChar w:fldCharType="end"/>
      </w:r>
      <w:r w:rsidR="00330B52" w:rsidRPr="001B4C86">
        <w:rPr>
          <w:rFonts w:ascii="Arial" w:hAnsi="Arial" w:cs="Arial"/>
          <w:b/>
          <w:sz w:val="24"/>
          <w:szCs w:val="24"/>
        </w:rPr>
        <w:t>.</w:t>
      </w:r>
      <w:r w:rsidR="007978A2" w:rsidRPr="001B4C86">
        <w:rPr>
          <w:rFonts w:ascii="Arial" w:hAnsi="Arial" w:cs="Arial"/>
          <w:sz w:val="24"/>
          <w:szCs w:val="24"/>
        </w:rPr>
        <w:t xml:space="preserve"> </w:t>
      </w:r>
      <w:r w:rsidR="0029343C" w:rsidRPr="001B4C86">
        <w:rPr>
          <w:rFonts w:ascii="Arial" w:hAnsi="Arial" w:cs="Arial"/>
          <w:sz w:val="24"/>
          <w:szCs w:val="24"/>
        </w:rPr>
        <w:t>T</w:t>
      </w:r>
      <w:r w:rsidR="006C2C6E" w:rsidRPr="001B4C86">
        <w:rPr>
          <w:rFonts w:ascii="Arial" w:hAnsi="Arial" w:cs="Arial"/>
          <w:sz w:val="24"/>
          <w:szCs w:val="24"/>
        </w:rPr>
        <w:t xml:space="preserve">he </w:t>
      </w:r>
      <w:r w:rsidR="0094234D" w:rsidRPr="001B4C86">
        <w:rPr>
          <w:rFonts w:ascii="Arial" w:hAnsi="Arial" w:cs="Arial"/>
          <w:sz w:val="24"/>
          <w:szCs w:val="24"/>
        </w:rPr>
        <w:t>Advancing Cryptococcal meningitis Treatment for Africa (</w:t>
      </w:r>
      <w:r w:rsidR="00081D3E" w:rsidRPr="001B4C86">
        <w:rPr>
          <w:rFonts w:ascii="Arial" w:hAnsi="Arial" w:cs="Arial"/>
          <w:sz w:val="24"/>
          <w:szCs w:val="24"/>
        </w:rPr>
        <w:t>ACTA</w:t>
      </w:r>
      <w:r w:rsidR="0094234D" w:rsidRPr="001B4C86">
        <w:rPr>
          <w:rFonts w:ascii="Arial" w:hAnsi="Arial" w:cs="Arial"/>
          <w:sz w:val="24"/>
          <w:szCs w:val="24"/>
        </w:rPr>
        <w:t>)</w:t>
      </w:r>
      <w:r w:rsidR="00081D3E" w:rsidRPr="001B4C86">
        <w:rPr>
          <w:rFonts w:ascii="Arial" w:hAnsi="Arial" w:cs="Arial"/>
          <w:sz w:val="24"/>
          <w:szCs w:val="24"/>
        </w:rPr>
        <w:t xml:space="preserve"> trial</w:t>
      </w:r>
      <w:r w:rsidR="00556E80" w:rsidRPr="001B4C86">
        <w:rPr>
          <w:rFonts w:ascii="Arial" w:hAnsi="Arial" w:cs="Arial"/>
          <w:sz w:val="24"/>
          <w:szCs w:val="24"/>
        </w:rPr>
        <w:t xml:space="preserve"> </w:t>
      </w:r>
      <w:r w:rsidR="00081D3E" w:rsidRPr="001B4C86">
        <w:rPr>
          <w:rFonts w:ascii="Arial" w:hAnsi="Arial" w:cs="Arial"/>
          <w:sz w:val="24"/>
          <w:szCs w:val="24"/>
        </w:rPr>
        <w:fldChar w:fldCharType="begin">
          <w:fldData xml:space="preserve">PEVuZE5vdGU+PENpdGU+PEF1dGhvcj5Nb2xsb3k8L0F1dGhvcj48WWVhcj4yMDE4PC9ZZWFyPjxS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</w:fldData>
        </w:fldChar>
      </w:r>
      <w:r w:rsidR="003058FB" w:rsidRPr="001B4C86">
        <w:rPr>
          <w:rFonts w:ascii="Arial" w:hAnsi="Arial" w:cs="Arial"/>
          <w:sz w:val="24"/>
          <w:szCs w:val="24"/>
        </w:rPr>
        <w:instrText xml:space="preserve"> ADDIN EN.CITE </w:instrText>
      </w:r>
      <w:r w:rsidR="003058FB" w:rsidRPr="001B4C86">
        <w:rPr>
          <w:rFonts w:ascii="Arial" w:hAnsi="Arial" w:cs="Arial"/>
          <w:sz w:val="24"/>
          <w:szCs w:val="24"/>
        </w:rPr>
        <w:fldChar w:fldCharType="begin">
          <w:fldData xml:space="preserve">PEVuZE5vdGU+PENpdGU+PEF1dGhvcj5Nb2xsb3k8L0F1dGhvcj48WWVhcj4yMDE4PC9ZZWFyPjxS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</w:fldData>
        </w:fldChar>
      </w:r>
      <w:r w:rsidR="003058FB" w:rsidRPr="001B4C86">
        <w:rPr>
          <w:rFonts w:ascii="Arial" w:hAnsi="Arial" w:cs="Arial"/>
          <w:sz w:val="24"/>
          <w:szCs w:val="24"/>
        </w:rPr>
        <w:instrText xml:space="preserve"> ADDIN EN.CITE.DATA </w:instrText>
      </w:r>
      <w:r w:rsidR="003058FB" w:rsidRPr="001B4C86">
        <w:rPr>
          <w:rFonts w:ascii="Arial" w:hAnsi="Arial" w:cs="Arial"/>
          <w:sz w:val="24"/>
          <w:szCs w:val="24"/>
        </w:rPr>
      </w:r>
      <w:r w:rsidR="003058FB" w:rsidRPr="001B4C86">
        <w:rPr>
          <w:rFonts w:ascii="Arial" w:hAnsi="Arial" w:cs="Arial"/>
          <w:sz w:val="24"/>
          <w:szCs w:val="24"/>
        </w:rPr>
        <w:fldChar w:fldCharType="end"/>
      </w:r>
      <w:r w:rsidR="00081D3E" w:rsidRPr="001B4C86">
        <w:rPr>
          <w:rFonts w:ascii="Arial" w:hAnsi="Arial" w:cs="Arial"/>
          <w:sz w:val="24"/>
          <w:szCs w:val="24"/>
        </w:rPr>
      </w:r>
      <w:r w:rsidR="00081D3E" w:rsidRPr="001B4C86">
        <w:rPr>
          <w:rFonts w:ascii="Arial" w:hAnsi="Arial" w:cs="Arial"/>
          <w:sz w:val="24"/>
          <w:szCs w:val="24"/>
        </w:rPr>
        <w:fldChar w:fldCharType="separate"/>
      </w:r>
      <w:r w:rsidR="003058FB" w:rsidRPr="001B4C86">
        <w:rPr>
          <w:rFonts w:ascii="Arial" w:hAnsi="Arial" w:cs="Arial"/>
          <w:noProof/>
          <w:sz w:val="24"/>
          <w:szCs w:val="24"/>
        </w:rPr>
        <w:t>[6]</w:t>
      </w:r>
      <w:r w:rsidR="00081D3E" w:rsidRPr="001B4C86">
        <w:rPr>
          <w:rFonts w:ascii="Arial" w:hAnsi="Arial" w:cs="Arial"/>
          <w:sz w:val="24"/>
          <w:szCs w:val="24"/>
        </w:rPr>
        <w:fldChar w:fldCharType="end"/>
      </w:r>
      <w:r w:rsidR="00556E80" w:rsidRPr="001B4C86">
        <w:rPr>
          <w:rFonts w:ascii="Arial" w:hAnsi="Arial" w:cs="Arial"/>
          <w:sz w:val="24"/>
          <w:szCs w:val="24"/>
        </w:rPr>
        <w:t xml:space="preserve"> </w:t>
      </w:r>
      <w:r w:rsidR="00697EF1" w:rsidRPr="001B4C86">
        <w:rPr>
          <w:rFonts w:ascii="Arial" w:hAnsi="Arial" w:cs="Arial"/>
          <w:sz w:val="24"/>
          <w:szCs w:val="24"/>
        </w:rPr>
        <w:t xml:space="preserve">recently </w:t>
      </w:r>
      <w:r w:rsidR="00081D3E" w:rsidRPr="001B4C86">
        <w:rPr>
          <w:rFonts w:ascii="Arial" w:hAnsi="Arial" w:cs="Arial"/>
          <w:sz w:val="24"/>
          <w:szCs w:val="24"/>
        </w:rPr>
        <w:t xml:space="preserve">tested new </w:t>
      </w:r>
      <w:r w:rsidR="00697EF1" w:rsidRPr="001B4C86">
        <w:rPr>
          <w:rFonts w:ascii="Arial" w:hAnsi="Arial" w:cs="Arial"/>
          <w:sz w:val="24"/>
          <w:szCs w:val="24"/>
        </w:rPr>
        <w:t xml:space="preserve">induction </w:t>
      </w:r>
      <w:r w:rsidR="00F44D0D" w:rsidRPr="001B4C86">
        <w:rPr>
          <w:rFonts w:ascii="Arial" w:hAnsi="Arial" w:cs="Arial"/>
          <w:sz w:val="24"/>
          <w:szCs w:val="24"/>
        </w:rPr>
        <w:t xml:space="preserve">treatment </w:t>
      </w:r>
      <w:r w:rsidR="00697EF1" w:rsidRPr="001B4C86">
        <w:rPr>
          <w:rFonts w:ascii="Arial" w:hAnsi="Arial" w:cs="Arial"/>
          <w:sz w:val="24"/>
          <w:szCs w:val="24"/>
        </w:rPr>
        <w:t>strategies</w:t>
      </w:r>
      <w:r w:rsidR="00012C7D" w:rsidRPr="001B4C86">
        <w:rPr>
          <w:rFonts w:ascii="Arial" w:hAnsi="Arial" w:cs="Arial"/>
          <w:sz w:val="24"/>
          <w:szCs w:val="24"/>
        </w:rPr>
        <w:t xml:space="preserve"> against the 2010 recommended standard of 2</w:t>
      </w:r>
      <w:r w:rsidR="00C571DE">
        <w:rPr>
          <w:rFonts w:ascii="Arial" w:hAnsi="Arial" w:cs="Arial"/>
          <w:sz w:val="24"/>
          <w:szCs w:val="24"/>
        </w:rPr>
        <w:t xml:space="preserve"> </w:t>
      </w:r>
      <w:r w:rsidR="00012C7D" w:rsidRPr="001B4C86">
        <w:rPr>
          <w:rFonts w:ascii="Arial" w:hAnsi="Arial" w:cs="Arial"/>
          <w:sz w:val="24"/>
          <w:szCs w:val="24"/>
        </w:rPr>
        <w:t xml:space="preserve">weeks </w:t>
      </w:r>
      <w:proofErr w:type="spellStart"/>
      <w:r w:rsidR="00012C7D" w:rsidRPr="001B4C86">
        <w:rPr>
          <w:rFonts w:ascii="Arial" w:hAnsi="Arial" w:cs="Arial"/>
          <w:sz w:val="24"/>
          <w:szCs w:val="24"/>
        </w:rPr>
        <w:t>AmB</w:t>
      </w:r>
      <w:proofErr w:type="spellEnd"/>
      <w:r w:rsidR="00012C7D" w:rsidRPr="001B4C86">
        <w:rPr>
          <w:rFonts w:ascii="Arial" w:hAnsi="Arial" w:cs="Arial"/>
          <w:sz w:val="24"/>
          <w:szCs w:val="24"/>
        </w:rPr>
        <w:t xml:space="preserve">-based induction treatment </w:t>
      </w:r>
      <w:r w:rsidR="00FA0A55" w:rsidRPr="001B4C86">
        <w:rPr>
          <w:rFonts w:ascii="Arial" w:hAnsi="Arial" w:cs="Arial"/>
          <w:sz w:val="24"/>
          <w:szCs w:val="24"/>
        </w:rPr>
        <w:fldChar w:fldCharType="begin"/>
      </w:r>
      <w:r w:rsidR="001A255F" w:rsidRPr="001B4C86">
        <w:rPr>
          <w:rFonts w:ascii="Arial" w:hAnsi="Arial" w:cs="Arial"/>
          <w:sz w:val="24"/>
          <w:szCs w:val="24"/>
        </w:rPr>
        <w:instrText xml:space="preserve"> ADDIN EN.CITE &lt;EndNote&gt;&lt;Cite&gt;&lt;Author&gt;Perfect&lt;/Author&gt;&lt;Year&gt;2010&lt;/Year&gt;&lt;RecNum&gt;59&lt;/RecNum&gt;&lt;DisplayText&gt;[7]&lt;/DisplayText&gt;&lt;record&gt;&lt;rec-number&gt;59&lt;/rec-number&gt;&lt;foreign-keys&gt;&lt;key app="EN" db-id="0xztvpaec09wawe5ewzvaavo0ardpexrzs2t" timestamp="1554975163"&gt;59&lt;/key&gt;&lt;/foreign-keys&gt;&lt;ref-type name="Journal Article"&gt;17&lt;/ref-type&gt;&lt;contributors&gt;&lt;authors&gt;&lt;author&gt;Perfect, J R&lt;/author&gt;&lt;author&gt;Dismukes, W E&lt;/author&gt;&lt;author&gt;Dromer, F&lt;/author&gt;&lt;author&gt;Goldman, D L&lt;/author&gt;&lt;author&gt;Graybill, J R&lt;/author&gt;&lt;author&gt;Hamill, R J&lt;/author&gt;&lt;author&gt;Harrison, T S&lt;/author&gt;&lt;author&gt;Larsen, R A&lt;/author&gt;&lt;author&gt;Lortholary, O&lt;/author&gt;&lt;author&gt;Nguyen, M H&lt;/author&gt;&lt;author&gt;Pappas, P G&lt;/author&gt;&lt;author&gt;Powderly, W G&lt;/author&gt;&lt;author&gt;Singh, N&lt;/author&gt;&lt;author&gt;Sobel, J D&lt;/author&gt;&lt;author&gt;Sorrell,T C&lt;/author&gt;&lt;/authors&gt;&lt;/contributors&gt;&lt;titles&gt;&lt;title&gt;Clinical Practice Guidelines for the Management of Cryptococcal Disease: 2010 Update by the Infectious Disease Society of America.&lt;/title&gt;&lt;secondary-title&gt;Clinical Infectious Diseases&lt;/secondary-title&gt;&lt;/titles&gt;&lt;periodical&gt;&lt;full-title&gt;Clinical Infectious Diseases&lt;/full-title&gt;&lt;/periodical&gt;&lt;pages&gt;291-322&lt;/pages&gt;&lt;volume&gt;50&lt;/volume&gt;&lt;dates&gt;&lt;year&gt;2010&lt;/year&gt;&lt;/dates&gt;&lt;urls&gt;&lt;/urls&gt;&lt;/record&gt;&lt;/Cite&gt;&lt;/EndNote&gt;</w:instrText>
      </w:r>
      <w:r w:rsidR="00FA0A55" w:rsidRPr="001B4C86">
        <w:rPr>
          <w:rFonts w:ascii="Arial" w:hAnsi="Arial" w:cs="Arial"/>
          <w:sz w:val="24"/>
          <w:szCs w:val="24"/>
        </w:rPr>
        <w:fldChar w:fldCharType="separate"/>
      </w:r>
      <w:r w:rsidR="00FA0A55" w:rsidRPr="001B4C86">
        <w:rPr>
          <w:rFonts w:ascii="Arial" w:hAnsi="Arial" w:cs="Arial"/>
          <w:noProof/>
          <w:sz w:val="24"/>
          <w:szCs w:val="24"/>
        </w:rPr>
        <w:t>[7]</w:t>
      </w:r>
      <w:r w:rsidR="00FA0A55" w:rsidRPr="001B4C86">
        <w:rPr>
          <w:rFonts w:ascii="Arial" w:hAnsi="Arial" w:cs="Arial"/>
          <w:sz w:val="24"/>
          <w:szCs w:val="24"/>
        </w:rPr>
        <w:fldChar w:fldCharType="end"/>
      </w:r>
      <w:r w:rsidR="00081D3E" w:rsidRPr="001B4C86">
        <w:rPr>
          <w:rFonts w:ascii="Arial" w:hAnsi="Arial" w:cs="Arial"/>
          <w:sz w:val="24"/>
          <w:szCs w:val="24"/>
        </w:rPr>
        <w:t xml:space="preserve">. </w:t>
      </w:r>
      <w:r w:rsidR="00012C7D" w:rsidRPr="001B4C86">
        <w:rPr>
          <w:rFonts w:ascii="Arial" w:hAnsi="Arial" w:cs="Arial"/>
          <w:sz w:val="24"/>
          <w:szCs w:val="24"/>
        </w:rPr>
        <w:t xml:space="preserve">The new treatment strategies </w:t>
      </w:r>
      <w:r w:rsidR="00395924" w:rsidRPr="001B4C86">
        <w:rPr>
          <w:rFonts w:ascii="Arial" w:hAnsi="Arial" w:cs="Arial"/>
          <w:sz w:val="24"/>
          <w:szCs w:val="24"/>
        </w:rPr>
        <w:t>were</w:t>
      </w:r>
      <w:r w:rsidR="00E81353" w:rsidRPr="001B4C86">
        <w:rPr>
          <w:rFonts w:ascii="Arial" w:hAnsi="Arial" w:cs="Arial"/>
          <w:sz w:val="24"/>
          <w:szCs w:val="24"/>
        </w:rPr>
        <w:t xml:space="preserve"> </w:t>
      </w:r>
      <w:r w:rsidR="00012C7D" w:rsidRPr="001B4C86">
        <w:rPr>
          <w:rFonts w:ascii="Arial" w:hAnsi="Arial" w:cs="Arial"/>
          <w:sz w:val="24"/>
          <w:szCs w:val="24"/>
        </w:rPr>
        <w:t>FLU plus flucytosine(5FC) given orally for 2 weeks</w:t>
      </w:r>
      <w:r w:rsidR="00395924" w:rsidRPr="001B4C86">
        <w:rPr>
          <w:rFonts w:ascii="Arial" w:hAnsi="Arial" w:cs="Arial"/>
          <w:sz w:val="24"/>
          <w:szCs w:val="24"/>
        </w:rPr>
        <w:t>,</w:t>
      </w:r>
      <w:r w:rsidR="00012C7D" w:rsidRPr="001B4C86">
        <w:rPr>
          <w:rFonts w:ascii="Arial" w:hAnsi="Arial" w:cs="Arial"/>
          <w:sz w:val="24"/>
          <w:szCs w:val="24"/>
        </w:rPr>
        <w:t xml:space="preserve"> and </w:t>
      </w:r>
      <w:proofErr w:type="spellStart"/>
      <w:r w:rsidR="00012C7D" w:rsidRPr="001B4C86">
        <w:rPr>
          <w:rFonts w:ascii="Arial" w:hAnsi="Arial" w:cs="Arial"/>
          <w:sz w:val="24"/>
          <w:szCs w:val="24"/>
        </w:rPr>
        <w:t>AmB</w:t>
      </w:r>
      <w:proofErr w:type="spellEnd"/>
      <w:r w:rsidR="00012C7D" w:rsidRPr="001B4C86">
        <w:rPr>
          <w:rFonts w:ascii="Arial" w:hAnsi="Arial" w:cs="Arial"/>
          <w:sz w:val="24"/>
          <w:szCs w:val="24"/>
        </w:rPr>
        <w:t xml:space="preserve"> given for 1 week with either FLU or 5FC.</w:t>
      </w:r>
      <w:r w:rsidR="00012C7D" w:rsidRPr="001B4C86">
        <w:rPr>
          <w:i/>
        </w:rPr>
        <w:t xml:space="preserve"> </w:t>
      </w:r>
      <w:r w:rsidR="00081D3E" w:rsidRPr="001B4C86">
        <w:rPr>
          <w:rFonts w:ascii="Arial" w:hAnsi="Arial" w:cs="Arial"/>
          <w:sz w:val="24"/>
          <w:szCs w:val="24"/>
        </w:rPr>
        <w:t xml:space="preserve"> The aim was to improve </w:t>
      </w:r>
      <w:r w:rsidR="00C15F42" w:rsidRPr="001B4C86">
        <w:rPr>
          <w:rFonts w:ascii="Arial" w:hAnsi="Arial" w:cs="Arial"/>
          <w:sz w:val="24"/>
          <w:szCs w:val="24"/>
        </w:rPr>
        <w:t>outcomes in cryptococcal meningitis</w:t>
      </w:r>
      <w:r w:rsidR="00081D3E" w:rsidRPr="001B4C86">
        <w:rPr>
          <w:rFonts w:ascii="Arial" w:hAnsi="Arial" w:cs="Arial"/>
          <w:sz w:val="24"/>
          <w:szCs w:val="24"/>
        </w:rPr>
        <w:t xml:space="preserve"> with re</w:t>
      </w:r>
      <w:r w:rsidR="00697EF1" w:rsidRPr="001B4C86">
        <w:rPr>
          <w:rFonts w:ascii="Arial" w:hAnsi="Arial" w:cs="Arial"/>
          <w:sz w:val="24"/>
          <w:szCs w:val="24"/>
        </w:rPr>
        <w:t xml:space="preserve">gimens that could be </w:t>
      </w:r>
      <w:r w:rsidR="00081D3E" w:rsidRPr="001B4C86">
        <w:rPr>
          <w:rFonts w:ascii="Arial" w:hAnsi="Arial" w:cs="Arial"/>
          <w:sz w:val="24"/>
          <w:szCs w:val="24"/>
        </w:rPr>
        <w:t>sustained in resource-limited settings.</w:t>
      </w:r>
      <w:r w:rsidR="00A46994" w:rsidRPr="001B4C86">
        <w:rPr>
          <w:rFonts w:ascii="Arial" w:hAnsi="Arial" w:cs="Arial"/>
          <w:sz w:val="24"/>
          <w:szCs w:val="24"/>
        </w:rPr>
        <w:t xml:space="preserve"> </w:t>
      </w:r>
      <w:r w:rsidR="00012C7D" w:rsidRPr="001B4C86">
        <w:rPr>
          <w:rFonts w:ascii="Arial" w:hAnsi="Arial" w:cs="Arial"/>
          <w:sz w:val="24"/>
          <w:szCs w:val="24"/>
        </w:rPr>
        <w:t>At 10 weeks of follow-up, results from the trial showed that the oral combination was non-inferior to 2 weeks AmB+5FC</w:t>
      </w:r>
      <w:r w:rsidR="00363168" w:rsidRPr="001B4C86">
        <w:rPr>
          <w:rFonts w:ascii="Arial" w:hAnsi="Arial" w:cs="Arial"/>
          <w:sz w:val="24"/>
          <w:szCs w:val="24"/>
        </w:rPr>
        <w:t>.</w:t>
      </w:r>
      <w:r w:rsidR="00C571DE">
        <w:rPr>
          <w:rFonts w:ascii="Arial" w:hAnsi="Arial" w:cs="Arial"/>
          <w:sz w:val="24"/>
          <w:szCs w:val="24"/>
        </w:rPr>
        <w:t xml:space="preserve"> </w:t>
      </w:r>
      <w:r w:rsidR="00410397" w:rsidRPr="001B4C86">
        <w:rPr>
          <w:rFonts w:ascii="Arial" w:hAnsi="Arial" w:cs="Arial"/>
          <w:sz w:val="24"/>
          <w:szCs w:val="24"/>
        </w:rPr>
        <w:t>One week</w:t>
      </w:r>
      <w:r w:rsidR="00410397">
        <w:rPr>
          <w:rFonts w:ascii="Arial" w:hAnsi="Arial" w:cs="Arial"/>
          <w:sz w:val="24"/>
          <w:szCs w:val="24"/>
        </w:rPr>
        <w:t xml:space="preserve"> </w:t>
      </w:r>
      <w:r w:rsidR="00012C7D" w:rsidRPr="001B4C86">
        <w:rPr>
          <w:rFonts w:ascii="Arial" w:hAnsi="Arial" w:cs="Arial"/>
          <w:sz w:val="24"/>
          <w:szCs w:val="24"/>
        </w:rPr>
        <w:t xml:space="preserve">AmB+5FC was associated with the lowest mortality overall. </w:t>
      </w:r>
      <w:r w:rsidR="00315AF2" w:rsidRPr="001B4C86">
        <w:rPr>
          <w:rFonts w:ascii="Arial" w:hAnsi="Arial" w:cs="Arial"/>
          <w:sz w:val="24"/>
          <w:szCs w:val="24"/>
        </w:rPr>
        <w:t xml:space="preserve">While </w:t>
      </w:r>
      <w:proofErr w:type="gramStart"/>
      <w:r w:rsidR="00315AF2" w:rsidRPr="001B4C86">
        <w:rPr>
          <w:rFonts w:ascii="Arial" w:hAnsi="Arial" w:cs="Arial"/>
          <w:sz w:val="24"/>
          <w:szCs w:val="24"/>
        </w:rPr>
        <w:t>10 week</w:t>
      </w:r>
      <w:proofErr w:type="gramEnd"/>
      <w:r w:rsidR="00315AF2" w:rsidRPr="001B4C86">
        <w:rPr>
          <w:rFonts w:ascii="Arial" w:hAnsi="Arial" w:cs="Arial"/>
          <w:sz w:val="24"/>
          <w:szCs w:val="24"/>
        </w:rPr>
        <w:t xml:space="preserve"> mortality is the most commonly used endpoint in cryptococcal meningitis trials, there is less controlled data on longer term outcomes. </w:t>
      </w:r>
      <w:r w:rsidR="0029343C" w:rsidRPr="001B4C86">
        <w:rPr>
          <w:rFonts w:ascii="Arial" w:hAnsi="Arial" w:cs="Arial"/>
          <w:sz w:val="24"/>
          <w:szCs w:val="24"/>
        </w:rPr>
        <w:t xml:space="preserve">Herein, we report the </w:t>
      </w:r>
      <w:r w:rsidR="00A10206" w:rsidRPr="001B4C86">
        <w:rPr>
          <w:rFonts w:ascii="Arial" w:hAnsi="Arial" w:cs="Arial"/>
          <w:sz w:val="24"/>
          <w:szCs w:val="24"/>
        </w:rPr>
        <w:t>results at</w:t>
      </w:r>
      <w:r w:rsidR="0029343C" w:rsidRPr="001B4C86">
        <w:rPr>
          <w:rFonts w:ascii="Arial" w:hAnsi="Arial" w:cs="Arial"/>
          <w:sz w:val="24"/>
          <w:szCs w:val="24"/>
        </w:rPr>
        <w:t xml:space="preserve"> 12 month </w:t>
      </w:r>
      <w:r w:rsidR="00992907" w:rsidRPr="001B4C86">
        <w:rPr>
          <w:rFonts w:ascii="Arial" w:hAnsi="Arial" w:cs="Arial"/>
          <w:sz w:val="24"/>
          <w:szCs w:val="24"/>
        </w:rPr>
        <w:t xml:space="preserve">of </w:t>
      </w:r>
      <w:r w:rsidR="0029343C" w:rsidRPr="001B4C86">
        <w:rPr>
          <w:rFonts w:ascii="Arial" w:hAnsi="Arial" w:cs="Arial"/>
          <w:sz w:val="24"/>
          <w:szCs w:val="24"/>
        </w:rPr>
        <w:t>follow</w:t>
      </w:r>
      <w:r w:rsidR="0094234D" w:rsidRPr="001B4C86">
        <w:rPr>
          <w:rFonts w:ascii="Arial" w:hAnsi="Arial" w:cs="Arial"/>
          <w:sz w:val="24"/>
          <w:szCs w:val="24"/>
        </w:rPr>
        <w:t>-</w:t>
      </w:r>
      <w:r w:rsidR="0029343C" w:rsidRPr="001B4C86">
        <w:rPr>
          <w:rFonts w:ascii="Arial" w:hAnsi="Arial" w:cs="Arial"/>
          <w:sz w:val="24"/>
          <w:szCs w:val="24"/>
        </w:rPr>
        <w:t xml:space="preserve">up </w:t>
      </w:r>
      <w:r w:rsidR="00A10206" w:rsidRPr="001B4C86">
        <w:rPr>
          <w:rFonts w:ascii="Arial" w:hAnsi="Arial" w:cs="Arial"/>
          <w:sz w:val="24"/>
          <w:szCs w:val="24"/>
        </w:rPr>
        <w:t xml:space="preserve">for participants </w:t>
      </w:r>
      <w:r w:rsidR="0029343C" w:rsidRPr="001B4C86">
        <w:rPr>
          <w:rFonts w:ascii="Arial" w:hAnsi="Arial" w:cs="Arial"/>
          <w:sz w:val="24"/>
          <w:szCs w:val="24"/>
        </w:rPr>
        <w:t>enrolled at 2 centres in Malawi</w:t>
      </w:r>
      <w:r w:rsidR="00A10206" w:rsidRPr="001B4C86">
        <w:rPr>
          <w:rFonts w:ascii="Arial" w:hAnsi="Arial" w:cs="Arial"/>
          <w:sz w:val="24"/>
          <w:szCs w:val="24"/>
        </w:rPr>
        <w:t>, comprising a subset of all those enrolled</w:t>
      </w:r>
      <w:r w:rsidR="0094234D" w:rsidRPr="001B4C86">
        <w:rPr>
          <w:rFonts w:ascii="Arial" w:hAnsi="Arial" w:cs="Arial"/>
          <w:sz w:val="24"/>
          <w:szCs w:val="24"/>
        </w:rPr>
        <w:t xml:space="preserve"> in the trial</w:t>
      </w:r>
      <w:r w:rsidR="0029343C" w:rsidRPr="001B4C86">
        <w:rPr>
          <w:rFonts w:ascii="Arial" w:hAnsi="Arial" w:cs="Arial"/>
          <w:sz w:val="24"/>
          <w:szCs w:val="24"/>
        </w:rPr>
        <w:t>.</w:t>
      </w:r>
    </w:p>
    <w:p w14:paraId="138A0FC7" w14:textId="77777777" w:rsidR="00A46994" w:rsidRPr="001B4C86" w:rsidRDefault="00A46994" w:rsidP="00BD6748">
      <w:pPr>
        <w:spacing w:after="0" w:line="480" w:lineRule="auto"/>
        <w:rPr>
          <w:rFonts w:ascii="Arial" w:hAnsi="Arial" w:cs="Arial"/>
          <w:sz w:val="24"/>
          <w:szCs w:val="24"/>
        </w:rPr>
      </w:pPr>
    </w:p>
    <w:p w14:paraId="522559C0" w14:textId="05F9A77C" w:rsidR="00EC23B2" w:rsidRPr="001B4C86" w:rsidRDefault="00A930A9" w:rsidP="00BD6748">
      <w:pPr>
        <w:widowControl w:val="0"/>
        <w:autoSpaceDE w:val="0"/>
        <w:autoSpaceDN w:val="0"/>
        <w:adjustRightInd w:val="0"/>
        <w:spacing w:line="480" w:lineRule="auto"/>
        <w:outlineLvl w:val="0"/>
        <w:rPr>
          <w:rFonts w:ascii="Arial" w:hAnsi="Arial" w:cs="Arial"/>
          <w:sz w:val="24"/>
          <w:szCs w:val="24"/>
        </w:rPr>
      </w:pPr>
      <w:r w:rsidRPr="001B4C86">
        <w:rPr>
          <w:rFonts w:ascii="Arial" w:hAnsi="Arial" w:cs="Arial"/>
          <w:b/>
          <w:sz w:val="24"/>
          <w:szCs w:val="24"/>
        </w:rPr>
        <w:t>Method</w:t>
      </w:r>
      <w:r w:rsidR="008D3414" w:rsidRPr="001B4C86">
        <w:rPr>
          <w:rFonts w:ascii="Arial" w:hAnsi="Arial" w:cs="Arial"/>
          <w:b/>
          <w:sz w:val="24"/>
          <w:szCs w:val="24"/>
        </w:rPr>
        <w:t>s</w:t>
      </w:r>
    </w:p>
    <w:p w14:paraId="27A0058B" w14:textId="5BC60811" w:rsidR="00C36676" w:rsidRPr="001B4C86" w:rsidRDefault="00BE1A08" w:rsidP="00556E80">
      <w:pPr>
        <w:spacing w:after="0" w:line="480" w:lineRule="auto"/>
        <w:jc w:val="both"/>
        <w:rPr>
          <w:rFonts w:ascii="Arial" w:hAnsi="Arial" w:cs="Arial"/>
          <w:sz w:val="24"/>
          <w:szCs w:val="24"/>
        </w:rPr>
      </w:pPr>
      <w:r w:rsidRPr="001B4C86">
        <w:rPr>
          <w:rFonts w:ascii="Arial" w:hAnsi="Arial" w:cs="Arial"/>
          <w:sz w:val="24"/>
          <w:szCs w:val="24"/>
        </w:rPr>
        <w:t>ACTA was</w:t>
      </w:r>
      <w:r w:rsidR="002E29A0" w:rsidRPr="001B4C86">
        <w:rPr>
          <w:rFonts w:ascii="Arial" w:hAnsi="Arial" w:cs="Arial"/>
          <w:sz w:val="24"/>
          <w:szCs w:val="24"/>
        </w:rPr>
        <w:t xml:space="preserve"> </w:t>
      </w:r>
      <w:r w:rsidR="00F04A73" w:rsidRPr="001B4C86">
        <w:rPr>
          <w:rFonts w:ascii="Arial" w:hAnsi="Arial" w:cs="Arial"/>
          <w:sz w:val="24"/>
          <w:szCs w:val="24"/>
        </w:rPr>
        <w:t>a</w:t>
      </w:r>
      <w:r w:rsidR="00E14610" w:rsidRPr="001B4C86">
        <w:rPr>
          <w:rFonts w:ascii="Arial" w:hAnsi="Arial" w:cs="Arial"/>
          <w:sz w:val="24"/>
          <w:szCs w:val="24"/>
        </w:rPr>
        <w:t xml:space="preserve"> large</w:t>
      </w:r>
      <w:r w:rsidR="00E777E4" w:rsidRPr="001B4C86">
        <w:rPr>
          <w:rFonts w:ascii="Arial" w:hAnsi="Arial" w:cs="Arial"/>
          <w:sz w:val="24"/>
          <w:szCs w:val="24"/>
        </w:rPr>
        <w:t xml:space="preserve"> open label, phase III</w:t>
      </w:r>
      <w:r w:rsidR="00F04A73" w:rsidRPr="001B4C86">
        <w:rPr>
          <w:rFonts w:ascii="Arial" w:hAnsi="Arial" w:cs="Arial"/>
          <w:sz w:val="24"/>
          <w:szCs w:val="24"/>
        </w:rPr>
        <w:t>, randomi</w:t>
      </w:r>
      <w:r w:rsidR="002C5A2D" w:rsidRPr="001B4C86">
        <w:rPr>
          <w:rFonts w:ascii="Arial" w:hAnsi="Arial" w:cs="Arial"/>
          <w:sz w:val="24"/>
          <w:szCs w:val="24"/>
        </w:rPr>
        <w:t>s</w:t>
      </w:r>
      <w:r w:rsidR="00F04A73" w:rsidRPr="001B4C86">
        <w:rPr>
          <w:rFonts w:ascii="Arial" w:hAnsi="Arial" w:cs="Arial"/>
          <w:sz w:val="24"/>
          <w:szCs w:val="24"/>
        </w:rPr>
        <w:t>ed non-inferiority, multi-centre trial</w:t>
      </w:r>
      <w:r w:rsidR="005B3D3B" w:rsidRPr="001B4C86">
        <w:rPr>
          <w:rFonts w:ascii="Arial" w:hAnsi="Arial" w:cs="Arial"/>
          <w:sz w:val="24"/>
          <w:szCs w:val="24"/>
        </w:rPr>
        <w:t>, in which</w:t>
      </w:r>
      <w:r w:rsidR="00EE59D6" w:rsidRPr="001B4C86">
        <w:rPr>
          <w:rFonts w:ascii="Arial" w:hAnsi="Arial" w:cs="Arial"/>
          <w:sz w:val="24"/>
          <w:szCs w:val="24"/>
        </w:rPr>
        <w:t xml:space="preserve"> </w:t>
      </w:r>
      <w:r w:rsidR="00E14610" w:rsidRPr="001B4C86">
        <w:rPr>
          <w:rFonts w:ascii="Arial" w:hAnsi="Arial" w:cs="Arial"/>
          <w:sz w:val="24"/>
          <w:szCs w:val="24"/>
        </w:rPr>
        <w:t xml:space="preserve">721 </w:t>
      </w:r>
      <w:r w:rsidR="00EE59D6" w:rsidRPr="001B4C86">
        <w:rPr>
          <w:rFonts w:ascii="Arial" w:hAnsi="Arial" w:cs="Arial"/>
          <w:sz w:val="24"/>
          <w:szCs w:val="24"/>
        </w:rPr>
        <w:t xml:space="preserve">patients with </w:t>
      </w:r>
      <w:r w:rsidR="00B02531" w:rsidRPr="001B4C86">
        <w:rPr>
          <w:rFonts w:ascii="Arial" w:hAnsi="Arial" w:cs="Arial"/>
          <w:sz w:val="24"/>
          <w:szCs w:val="24"/>
        </w:rPr>
        <w:t>HIV-associated cryptococcal meningitis</w:t>
      </w:r>
      <w:r w:rsidR="004B41B7" w:rsidRPr="001B4C86">
        <w:rPr>
          <w:rFonts w:ascii="Arial" w:hAnsi="Arial" w:cs="Arial"/>
          <w:sz w:val="24"/>
          <w:szCs w:val="24"/>
        </w:rPr>
        <w:t xml:space="preserve"> from</w:t>
      </w:r>
      <w:r w:rsidR="006E3A19" w:rsidRPr="001B4C86">
        <w:rPr>
          <w:rFonts w:ascii="Arial" w:hAnsi="Arial" w:cs="Arial"/>
          <w:sz w:val="24"/>
          <w:szCs w:val="24"/>
        </w:rPr>
        <w:t xml:space="preserve"> centres</w:t>
      </w:r>
      <w:r w:rsidR="001935CB" w:rsidRPr="001B4C86">
        <w:rPr>
          <w:rFonts w:ascii="Arial" w:hAnsi="Arial" w:cs="Arial"/>
          <w:sz w:val="24"/>
          <w:szCs w:val="24"/>
        </w:rPr>
        <w:t xml:space="preserve"> </w:t>
      </w:r>
      <w:r w:rsidR="008D3414" w:rsidRPr="001B4C86">
        <w:rPr>
          <w:rFonts w:ascii="Arial" w:hAnsi="Arial" w:cs="Arial"/>
          <w:sz w:val="24"/>
          <w:szCs w:val="24"/>
        </w:rPr>
        <w:t xml:space="preserve">in </w:t>
      </w:r>
      <w:r w:rsidR="008631DC" w:rsidRPr="001B4C86">
        <w:rPr>
          <w:rFonts w:ascii="Arial" w:hAnsi="Arial" w:cs="Arial"/>
          <w:sz w:val="24"/>
          <w:szCs w:val="24"/>
        </w:rPr>
        <w:t>Malawi, Zambia, Tanzania and Ca</w:t>
      </w:r>
      <w:r w:rsidR="004B41B7" w:rsidRPr="001B4C86">
        <w:rPr>
          <w:rFonts w:ascii="Arial" w:hAnsi="Arial" w:cs="Arial"/>
          <w:sz w:val="24"/>
          <w:szCs w:val="24"/>
        </w:rPr>
        <w:t>meroon</w:t>
      </w:r>
      <w:r w:rsidR="00B512C6" w:rsidRPr="001B4C86">
        <w:rPr>
          <w:rFonts w:ascii="Arial" w:hAnsi="Arial" w:cs="Arial"/>
          <w:sz w:val="24"/>
          <w:szCs w:val="24"/>
        </w:rPr>
        <w:t xml:space="preserve"> </w:t>
      </w:r>
      <w:r w:rsidR="008631DC" w:rsidRPr="001B4C86">
        <w:rPr>
          <w:rFonts w:ascii="Arial" w:hAnsi="Arial" w:cs="Arial"/>
          <w:sz w:val="24"/>
          <w:szCs w:val="24"/>
        </w:rPr>
        <w:t>were randomis</w:t>
      </w:r>
      <w:r w:rsidR="006E3A19" w:rsidRPr="001B4C86">
        <w:rPr>
          <w:rFonts w:ascii="Arial" w:hAnsi="Arial" w:cs="Arial"/>
          <w:sz w:val="24"/>
          <w:szCs w:val="24"/>
        </w:rPr>
        <w:t xml:space="preserve">ed to </w:t>
      </w:r>
      <w:r w:rsidR="006C547F" w:rsidRPr="001B4C86">
        <w:rPr>
          <w:rFonts w:ascii="Arial" w:hAnsi="Arial" w:cs="Arial"/>
          <w:sz w:val="24"/>
          <w:szCs w:val="24"/>
        </w:rPr>
        <w:t>three</w:t>
      </w:r>
      <w:r w:rsidR="006E3A19" w:rsidRPr="001B4C86">
        <w:rPr>
          <w:rFonts w:ascii="Arial" w:hAnsi="Arial" w:cs="Arial"/>
          <w:sz w:val="24"/>
          <w:szCs w:val="24"/>
        </w:rPr>
        <w:t xml:space="preserve"> strategies: oral </w:t>
      </w:r>
      <w:r w:rsidR="002E29A0" w:rsidRPr="001B4C86">
        <w:rPr>
          <w:rFonts w:ascii="Arial" w:hAnsi="Arial" w:cs="Arial"/>
          <w:sz w:val="24"/>
          <w:szCs w:val="24"/>
        </w:rPr>
        <w:t>FLU+5FC</w:t>
      </w:r>
      <w:r w:rsidR="00DF39D7" w:rsidRPr="001B4C86">
        <w:rPr>
          <w:rFonts w:ascii="Arial" w:hAnsi="Arial" w:cs="Arial"/>
          <w:sz w:val="24"/>
          <w:szCs w:val="24"/>
        </w:rPr>
        <w:t xml:space="preserve"> for 2 weeks</w:t>
      </w:r>
      <w:r w:rsidR="006E3A19" w:rsidRPr="001B4C86">
        <w:rPr>
          <w:rFonts w:ascii="Arial" w:hAnsi="Arial" w:cs="Arial"/>
          <w:sz w:val="24"/>
          <w:szCs w:val="24"/>
        </w:rPr>
        <w:t xml:space="preserve">, 1 week </w:t>
      </w:r>
      <w:proofErr w:type="spellStart"/>
      <w:r w:rsidR="006E3A19" w:rsidRPr="001B4C86">
        <w:rPr>
          <w:rFonts w:ascii="Arial" w:hAnsi="Arial" w:cs="Arial"/>
          <w:sz w:val="24"/>
          <w:szCs w:val="24"/>
        </w:rPr>
        <w:t>AmB</w:t>
      </w:r>
      <w:proofErr w:type="spellEnd"/>
      <w:r w:rsidR="006E3A19" w:rsidRPr="001B4C86">
        <w:rPr>
          <w:rFonts w:ascii="Arial" w:hAnsi="Arial" w:cs="Arial"/>
          <w:sz w:val="24"/>
          <w:szCs w:val="24"/>
        </w:rPr>
        <w:t xml:space="preserve">, and standard 2 weeks </w:t>
      </w:r>
      <w:proofErr w:type="spellStart"/>
      <w:r w:rsidR="006E3A19" w:rsidRPr="001B4C86">
        <w:rPr>
          <w:rFonts w:ascii="Arial" w:hAnsi="Arial" w:cs="Arial"/>
          <w:sz w:val="24"/>
          <w:szCs w:val="24"/>
        </w:rPr>
        <w:t>AmB</w:t>
      </w:r>
      <w:proofErr w:type="spellEnd"/>
      <w:r w:rsidR="0029343C" w:rsidRPr="001B4C86">
        <w:rPr>
          <w:rFonts w:ascii="Arial" w:hAnsi="Arial" w:cs="Arial"/>
          <w:sz w:val="24"/>
          <w:szCs w:val="24"/>
        </w:rPr>
        <w:t>;</w:t>
      </w:r>
      <w:r w:rsidR="006E3A19" w:rsidRPr="001B4C86">
        <w:rPr>
          <w:rFonts w:ascii="Arial" w:hAnsi="Arial" w:cs="Arial"/>
          <w:sz w:val="24"/>
          <w:szCs w:val="24"/>
        </w:rPr>
        <w:t xml:space="preserve"> and those</w:t>
      </w:r>
      <w:r w:rsidR="00F04A73" w:rsidRPr="001B4C86">
        <w:rPr>
          <w:rFonts w:ascii="Arial" w:hAnsi="Arial" w:cs="Arial"/>
          <w:sz w:val="24"/>
          <w:szCs w:val="24"/>
        </w:rPr>
        <w:t xml:space="preserve"> in the </w:t>
      </w:r>
      <w:proofErr w:type="spellStart"/>
      <w:r w:rsidR="00F04A73" w:rsidRPr="001B4C86">
        <w:rPr>
          <w:rFonts w:ascii="Arial" w:hAnsi="Arial" w:cs="Arial"/>
          <w:sz w:val="24"/>
          <w:szCs w:val="24"/>
        </w:rPr>
        <w:t>AmB</w:t>
      </w:r>
      <w:proofErr w:type="spellEnd"/>
      <w:r w:rsidR="00F04A73" w:rsidRPr="001B4C86">
        <w:rPr>
          <w:rFonts w:ascii="Arial" w:hAnsi="Arial" w:cs="Arial"/>
          <w:sz w:val="24"/>
          <w:szCs w:val="24"/>
        </w:rPr>
        <w:t xml:space="preserve"> arms were further randomised to </w:t>
      </w:r>
      <w:r w:rsidR="00DE0AE2" w:rsidRPr="001B4C86">
        <w:rPr>
          <w:rFonts w:ascii="Arial" w:hAnsi="Arial" w:cs="Arial"/>
          <w:sz w:val="24"/>
          <w:szCs w:val="24"/>
        </w:rPr>
        <w:t xml:space="preserve">5FC </w:t>
      </w:r>
      <w:r w:rsidR="00F04A73" w:rsidRPr="001B4C86">
        <w:rPr>
          <w:rFonts w:ascii="Arial" w:hAnsi="Arial" w:cs="Arial"/>
          <w:sz w:val="24"/>
          <w:szCs w:val="24"/>
        </w:rPr>
        <w:t xml:space="preserve">or </w:t>
      </w:r>
      <w:r w:rsidR="00DE0AE2" w:rsidRPr="001B4C86">
        <w:rPr>
          <w:rFonts w:ascii="Arial" w:hAnsi="Arial" w:cs="Arial"/>
          <w:sz w:val="24"/>
          <w:szCs w:val="24"/>
        </w:rPr>
        <w:t xml:space="preserve">FLU </w:t>
      </w:r>
      <w:r w:rsidR="00F04A73" w:rsidRPr="001B4C86">
        <w:rPr>
          <w:rFonts w:ascii="Arial" w:hAnsi="Arial" w:cs="Arial"/>
          <w:sz w:val="24"/>
          <w:szCs w:val="24"/>
        </w:rPr>
        <w:t xml:space="preserve">in a 1:1 ratio, as </w:t>
      </w:r>
      <w:r w:rsidR="00A3561E" w:rsidRPr="001B4C86">
        <w:rPr>
          <w:rFonts w:ascii="Arial" w:hAnsi="Arial" w:cs="Arial"/>
          <w:sz w:val="24"/>
          <w:szCs w:val="24"/>
        </w:rPr>
        <w:t>the partner drug</w:t>
      </w:r>
      <w:r w:rsidR="00F04A73" w:rsidRPr="001B4C86">
        <w:rPr>
          <w:rFonts w:ascii="Arial" w:hAnsi="Arial" w:cs="Arial"/>
          <w:sz w:val="24"/>
          <w:szCs w:val="24"/>
        </w:rPr>
        <w:t xml:space="preserve"> </w:t>
      </w:r>
      <w:r w:rsidR="00114936" w:rsidRPr="001B4C86">
        <w:rPr>
          <w:rFonts w:ascii="Arial" w:hAnsi="Arial" w:cs="Arial"/>
          <w:sz w:val="24"/>
          <w:szCs w:val="24"/>
        </w:rPr>
        <w:t xml:space="preserve">given with </w:t>
      </w:r>
      <w:proofErr w:type="spellStart"/>
      <w:r w:rsidR="00114936" w:rsidRPr="001B4C86">
        <w:rPr>
          <w:rFonts w:ascii="Arial" w:hAnsi="Arial" w:cs="Arial"/>
          <w:sz w:val="24"/>
          <w:szCs w:val="24"/>
        </w:rPr>
        <w:t>AmB</w:t>
      </w:r>
      <w:proofErr w:type="spellEnd"/>
      <w:r w:rsidR="0029343C" w:rsidRPr="001B4C86">
        <w:rPr>
          <w:rFonts w:ascii="Arial" w:hAnsi="Arial" w:cs="Arial"/>
          <w:sz w:val="24"/>
          <w:szCs w:val="24"/>
        </w:rPr>
        <w:t xml:space="preserve">. Outcomes </w:t>
      </w:r>
      <w:r w:rsidR="0094234D" w:rsidRPr="001B4C86">
        <w:rPr>
          <w:rFonts w:ascii="Arial" w:hAnsi="Arial" w:cs="Arial"/>
          <w:sz w:val="24"/>
          <w:szCs w:val="24"/>
        </w:rPr>
        <w:t>at</w:t>
      </w:r>
      <w:r w:rsidR="0029343C" w:rsidRPr="001B4C86">
        <w:rPr>
          <w:rFonts w:ascii="Arial" w:hAnsi="Arial" w:cs="Arial"/>
          <w:sz w:val="24"/>
          <w:szCs w:val="24"/>
        </w:rPr>
        <w:t xml:space="preserve"> 10 weeks of antifungal therapy have been reported</w:t>
      </w:r>
      <w:r w:rsidR="002338F2" w:rsidRPr="001B4C86">
        <w:rPr>
          <w:rFonts w:ascii="Arial" w:hAnsi="Arial" w:cs="Arial"/>
          <w:sz w:val="24"/>
          <w:szCs w:val="24"/>
        </w:rPr>
        <w:t xml:space="preserve"> </w:t>
      </w:r>
      <w:r w:rsidR="002338F2" w:rsidRPr="001B4C86">
        <w:rPr>
          <w:rFonts w:ascii="Arial" w:hAnsi="Arial" w:cs="Arial"/>
          <w:sz w:val="24"/>
          <w:szCs w:val="24"/>
        </w:rPr>
        <w:fldChar w:fldCharType="begin">
          <w:fldData xml:space="preserve">PEVuZE5vdGU+PENpdGU+PEF1dGhvcj5Nb2xsb3k8L0F1dGhvcj48WWVhcj4yMDE4PC9ZZWFyPjxS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</w:fldData>
        </w:fldChar>
      </w:r>
      <w:r w:rsidR="00D53BB8">
        <w:rPr>
          <w:rFonts w:ascii="Arial" w:hAnsi="Arial" w:cs="Arial"/>
          <w:sz w:val="24"/>
          <w:szCs w:val="24"/>
        </w:rPr>
        <w:instrText xml:space="preserve"> ADDIN EN.CITE </w:instrText>
      </w:r>
      <w:r w:rsidR="00D53BB8">
        <w:rPr>
          <w:rFonts w:ascii="Arial" w:hAnsi="Arial" w:cs="Arial"/>
          <w:sz w:val="24"/>
          <w:szCs w:val="24"/>
        </w:rPr>
        <w:fldChar w:fldCharType="begin">
          <w:fldData xml:space="preserve">PEVuZE5vdGU+PENpdGU+PEF1dGhvcj5Nb2xsb3k8L0F1dGhvcj48WWVhcj4yMDE4PC9ZZWFyPjxS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</w:fldData>
        </w:fldChar>
      </w:r>
      <w:r w:rsidR="00D53BB8">
        <w:rPr>
          <w:rFonts w:ascii="Arial" w:hAnsi="Arial" w:cs="Arial"/>
          <w:sz w:val="24"/>
          <w:szCs w:val="24"/>
        </w:rPr>
        <w:instrText xml:space="preserve"> ADDIN EN.CITE.DATA </w:instrText>
      </w:r>
      <w:r w:rsidR="00D53BB8">
        <w:rPr>
          <w:rFonts w:ascii="Arial" w:hAnsi="Arial" w:cs="Arial"/>
          <w:sz w:val="24"/>
          <w:szCs w:val="24"/>
        </w:rPr>
      </w:r>
      <w:r w:rsidR="00D53BB8">
        <w:rPr>
          <w:rFonts w:ascii="Arial" w:hAnsi="Arial" w:cs="Arial"/>
          <w:sz w:val="24"/>
          <w:szCs w:val="24"/>
        </w:rPr>
        <w:fldChar w:fldCharType="end"/>
      </w:r>
      <w:r w:rsidR="002338F2" w:rsidRPr="001B4C86">
        <w:rPr>
          <w:rFonts w:ascii="Arial" w:hAnsi="Arial" w:cs="Arial"/>
          <w:sz w:val="24"/>
          <w:szCs w:val="24"/>
        </w:rPr>
      </w:r>
      <w:r w:rsidR="002338F2" w:rsidRPr="001B4C86">
        <w:rPr>
          <w:rFonts w:ascii="Arial" w:hAnsi="Arial" w:cs="Arial"/>
          <w:sz w:val="24"/>
          <w:szCs w:val="24"/>
        </w:rPr>
        <w:fldChar w:fldCharType="separate"/>
      </w:r>
      <w:r w:rsidR="003058FB" w:rsidRPr="001B4C86">
        <w:rPr>
          <w:rFonts w:ascii="Arial" w:hAnsi="Arial" w:cs="Arial"/>
          <w:noProof/>
          <w:sz w:val="24"/>
          <w:szCs w:val="24"/>
        </w:rPr>
        <w:t>[6]</w:t>
      </w:r>
      <w:r w:rsidR="002338F2" w:rsidRPr="001B4C86">
        <w:rPr>
          <w:rFonts w:ascii="Arial" w:hAnsi="Arial" w:cs="Arial"/>
          <w:sz w:val="24"/>
          <w:szCs w:val="24"/>
        </w:rPr>
        <w:fldChar w:fldCharType="end"/>
      </w:r>
      <w:r w:rsidR="00F04A73" w:rsidRPr="001B4C86">
        <w:rPr>
          <w:rFonts w:ascii="Arial" w:hAnsi="Arial" w:cs="Arial"/>
          <w:sz w:val="24"/>
          <w:szCs w:val="24"/>
        </w:rPr>
        <w:t>.</w:t>
      </w:r>
      <w:r w:rsidR="0029343C" w:rsidRPr="001B4C86">
        <w:rPr>
          <w:rFonts w:ascii="Arial" w:hAnsi="Arial" w:cs="Arial"/>
          <w:sz w:val="24"/>
          <w:szCs w:val="24"/>
        </w:rPr>
        <w:t xml:space="preserve"> </w:t>
      </w:r>
      <w:r w:rsidR="00453562" w:rsidRPr="001B4C86">
        <w:rPr>
          <w:rFonts w:ascii="Arial" w:hAnsi="Arial" w:cs="Arial"/>
          <w:sz w:val="24"/>
          <w:szCs w:val="24"/>
        </w:rPr>
        <w:t xml:space="preserve"> </w:t>
      </w:r>
      <w:r w:rsidR="0029343C" w:rsidRPr="001B4C86">
        <w:rPr>
          <w:rFonts w:ascii="Arial" w:hAnsi="Arial" w:cs="Arial"/>
          <w:sz w:val="24"/>
          <w:szCs w:val="24"/>
        </w:rPr>
        <w:t>In this</w:t>
      </w:r>
      <w:r w:rsidR="00DF39D7" w:rsidRPr="001B4C86">
        <w:rPr>
          <w:rFonts w:ascii="Arial" w:hAnsi="Arial" w:cs="Arial"/>
          <w:sz w:val="24"/>
          <w:szCs w:val="24"/>
        </w:rPr>
        <w:t xml:space="preserve"> pre-planned</w:t>
      </w:r>
      <w:r w:rsidR="0029343C" w:rsidRPr="001B4C86">
        <w:rPr>
          <w:rFonts w:ascii="Arial" w:hAnsi="Arial" w:cs="Arial"/>
          <w:sz w:val="24"/>
          <w:szCs w:val="24"/>
        </w:rPr>
        <w:t xml:space="preserve"> sub</w:t>
      </w:r>
      <w:r w:rsidR="00CB5F27" w:rsidRPr="001B4C86">
        <w:rPr>
          <w:rFonts w:ascii="Arial" w:hAnsi="Arial" w:cs="Arial"/>
          <w:sz w:val="24"/>
          <w:szCs w:val="24"/>
        </w:rPr>
        <w:t>-</w:t>
      </w:r>
      <w:r w:rsidR="0029343C" w:rsidRPr="001B4C86">
        <w:rPr>
          <w:rFonts w:ascii="Arial" w:hAnsi="Arial" w:cs="Arial"/>
          <w:sz w:val="24"/>
          <w:szCs w:val="24"/>
        </w:rPr>
        <w:t xml:space="preserve">study of the ACTA trial, participants at 2 </w:t>
      </w:r>
      <w:proofErr w:type="spellStart"/>
      <w:r w:rsidR="0029343C" w:rsidRPr="001B4C86">
        <w:rPr>
          <w:rFonts w:ascii="Arial" w:hAnsi="Arial" w:cs="Arial"/>
          <w:sz w:val="24"/>
          <w:szCs w:val="24"/>
        </w:rPr>
        <w:t>centers</w:t>
      </w:r>
      <w:proofErr w:type="spellEnd"/>
      <w:r w:rsidR="0029343C" w:rsidRPr="001B4C86">
        <w:rPr>
          <w:rFonts w:ascii="Arial" w:hAnsi="Arial" w:cs="Arial"/>
          <w:sz w:val="24"/>
          <w:szCs w:val="24"/>
        </w:rPr>
        <w:t xml:space="preserve"> in Malawi </w:t>
      </w:r>
      <w:r w:rsidR="0029343C" w:rsidRPr="001B4C86">
        <w:rPr>
          <w:rFonts w:ascii="Arial" w:hAnsi="Arial" w:cs="Arial"/>
          <w:sz w:val="24"/>
          <w:szCs w:val="24"/>
        </w:rPr>
        <w:lastRenderedPageBreak/>
        <w:t>(Kamuzu</w:t>
      </w:r>
      <w:r w:rsidR="00E81353" w:rsidRPr="001B4C86">
        <w:rPr>
          <w:rFonts w:ascii="Arial" w:hAnsi="Arial" w:cs="Arial"/>
          <w:sz w:val="24"/>
          <w:szCs w:val="24"/>
        </w:rPr>
        <w:t xml:space="preserve"> Central Hospital, </w:t>
      </w:r>
      <w:r w:rsidR="0029343C" w:rsidRPr="001B4C86">
        <w:rPr>
          <w:rFonts w:ascii="Arial" w:hAnsi="Arial" w:cs="Arial"/>
          <w:sz w:val="24"/>
          <w:szCs w:val="24"/>
        </w:rPr>
        <w:t>Lilongwe and Zomba Central Hospital</w:t>
      </w:r>
      <w:r w:rsidR="009443F9" w:rsidRPr="001B4C86">
        <w:rPr>
          <w:rFonts w:ascii="Arial" w:hAnsi="Arial" w:cs="Arial"/>
          <w:sz w:val="24"/>
          <w:szCs w:val="24"/>
        </w:rPr>
        <w:t>;</w:t>
      </w:r>
      <w:r w:rsidR="00E81353" w:rsidRPr="001B4C86">
        <w:rPr>
          <w:rFonts w:ascii="Arial" w:hAnsi="Arial" w:cs="Arial"/>
          <w:sz w:val="24"/>
          <w:szCs w:val="24"/>
        </w:rPr>
        <w:t xml:space="preserve"> </w:t>
      </w:r>
      <w:r w:rsidR="009443F9" w:rsidRPr="001B4C86">
        <w:rPr>
          <w:rFonts w:ascii="Arial" w:hAnsi="Arial" w:cs="Arial"/>
          <w:sz w:val="24"/>
          <w:szCs w:val="24"/>
        </w:rPr>
        <w:t xml:space="preserve">representing almost 1/3 of patients from the main trial and with </w:t>
      </w:r>
      <w:proofErr w:type="gramStart"/>
      <w:r w:rsidR="009443F9" w:rsidRPr="001B4C86">
        <w:rPr>
          <w:rFonts w:ascii="Arial" w:hAnsi="Arial" w:cs="Arial"/>
          <w:sz w:val="24"/>
          <w:szCs w:val="24"/>
        </w:rPr>
        <w:t>sufficient</w:t>
      </w:r>
      <w:proofErr w:type="gramEnd"/>
      <w:r w:rsidR="009443F9" w:rsidRPr="001B4C86">
        <w:rPr>
          <w:rFonts w:ascii="Arial" w:hAnsi="Arial" w:cs="Arial"/>
          <w:sz w:val="24"/>
          <w:szCs w:val="24"/>
        </w:rPr>
        <w:t xml:space="preserve"> resources for appropriate and</w:t>
      </w:r>
      <w:r w:rsidR="00FA0A55" w:rsidRPr="001B4C86">
        <w:rPr>
          <w:rFonts w:ascii="Arial" w:hAnsi="Arial" w:cs="Arial"/>
          <w:sz w:val="24"/>
          <w:szCs w:val="24"/>
        </w:rPr>
        <w:t xml:space="preserve"> complete</w:t>
      </w:r>
      <w:r w:rsidR="009443F9" w:rsidRPr="001B4C86">
        <w:rPr>
          <w:rFonts w:ascii="Arial" w:hAnsi="Arial" w:cs="Arial"/>
          <w:sz w:val="24"/>
          <w:szCs w:val="24"/>
        </w:rPr>
        <w:t xml:space="preserve"> follow-up</w:t>
      </w:r>
      <w:r w:rsidR="00F01523" w:rsidRPr="001B4C86">
        <w:rPr>
          <w:rFonts w:ascii="Arial" w:hAnsi="Arial" w:cs="Arial"/>
          <w:sz w:val="24"/>
          <w:szCs w:val="24"/>
        </w:rPr>
        <w:t>, were followed up for</w:t>
      </w:r>
      <w:r w:rsidR="0029343C" w:rsidRPr="001B4C86">
        <w:rPr>
          <w:rFonts w:ascii="Arial" w:hAnsi="Arial" w:cs="Arial"/>
          <w:sz w:val="24"/>
          <w:szCs w:val="24"/>
        </w:rPr>
        <w:t xml:space="preserve"> 12 months</w:t>
      </w:r>
      <w:r w:rsidR="00F01523" w:rsidRPr="001B4C86">
        <w:rPr>
          <w:rFonts w:ascii="Arial" w:hAnsi="Arial" w:cs="Arial"/>
          <w:sz w:val="24"/>
          <w:szCs w:val="24"/>
        </w:rPr>
        <w:t xml:space="preserve">, with </w:t>
      </w:r>
      <w:r w:rsidR="00A10206" w:rsidRPr="001B4C86">
        <w:rPr>
          <w:rFonts w:ascii="Arial" w:hAnsi="Arial" w:cs="Arial"/>
          <w:sz w:val="24"/>
          <w:szCs w:val="24"/>
        </w:rPr>
        <w:t xml:space="preserve">primary </w:t>
      </w:r>
      <w:r w:rsidR="00F01523" w:rsidRPr="001B4C86">
        <w:rPr>
          <w:rFonts w:ascii="Arial" w:hAnsi="Arial" w:cs="Arial"/>
          <w:sz w:val="24"/>
          <w:szCs w:val="24"/>
        </w:rPr>
        <w:t>endpoints of all</w:t>
      </w:r>
      <w:r w:rsidR="0097216C" w:rsidRPr="001B4C86">
        <w:rPr>
          <w:rFonts w:ascii="Arial" w:hAnsi="Arial" w:cs="Arial"/>
          <w:sz w:val="24"/>
          <w:szCs w:val="24"/>
        </w:rPr>
        <w:t>-</w:t>
      </w:r>
      <w:r w:rsidR="00F01523" w:rsidRPr="001B4C86">
        <w:rPr>
          <w:rFonts w:ascii="Arial" w:hAnsi="Arial" w:cs="Arial"/>
          <w:sz w:val="24"/>
          <w:szCs w:val="24"/>
        </w:rPr>
        <w:t>cause mortality at 6 and 12 months</w:t>
      </w:r>
      <w:r w:rsidR="0029343C" w:rsidRPr="001B4C86">
        <w:rPr>
          <w:rFonts w:ascii="Arial" w:hAnsi="Arial" w:cs="Arial"/>
          <w:sz w:val="24"/>
          <w:szCs w:val="24"/>
        </w:rPr>
        <w:t>.</w:t>
      </w:r>
      <w:r w:rsidR="00A46994" w:rsidRPr="001B4C86">
        <w:rPr>
          <w:rFonts w:ascii="Arial" w:hAnsi="Arial" w:cs="Arial"/>
          <w:sz w:val="24"/>
          <w:szCs w:val="24"/>
        </w:rPr>
        <w:t xml:space="preserve"> </w:t>
      </w:r>
    </w:p>
    <w:p w14:paraId="74AD29B0" w14:textId="7DD21BD5" w:rsidR="00D448AC" w:rsidRPr="001B4C86" w:rsidRDefault="00D448AC" w:rsidP="00CC6A8F">
      <w:pPr>
        <w:spacing w:after="0" w:line="480" w:lineRule="auto"/>
        <w:jc w:val="both"/>
        <w:rPr>
          <w:rFonts w:ascii="Arial" w:hAnsi="Arial" w:cs="Arial"/>
          <w:sz w:val="24"/>
          <w:szCs w:val="24"/>
        </w:rPr>
      </w:pPr>
    </w:p>
    <w:p w14:paraId="2DFB54FD" w14:textId="77777777" w:rsidR="000F2499" w:rsidRPr="001B4C86" w:rsidRDefault="000F2499" w:rsidP="0029343C">
      <w:pPr>
        <w:spacing w:after="0" w:line="480" w:lineRule="auto"/>
        <w:rPr>
          <w:rFonts w:ascii="Arial" w:hAnsi="Arial" w:cs="Arial"/>
          <w:sz w:val="24"/>
          <w:szCs w:val="24"/>
        </w:rPr>
      </w:pPr>
      <w:r w:rsidRPr="001B4C86">
        <w:rPr>
          <w:rFonts w:ascii="Arial" w:hAnsi="Arial" w:cs="Arial"/>
          <w:sz w:val="24"/>
          <w:szCs w:val="24"/>
        </w:rPr>
        <w:t>Data Collection</w:t>
      </w:r>
    </w:p>
    <w:p w14:paraId="1DF83013" w14:textId="10D1453B" w:rsidR="000F2499" w:rsidRPr="001B4C86" w:rsidRDefault="000F2499" w:rsidP="0029343C">
      <w:pPr>
        <w:spacing w:after="0" w:line="480" w:lineRule="auto"/>
        <w:jc w:val="both"/>
        <w:rPr>
          <w:rFonts w:ascii="Arial" w:hAnsi="Arial" w:cs="Arial"/>
          <w:sz w:val="24"/>
          <w:szCs w:val="24"/>
        </w:rPr>
      </w:pPr>
      <w:r w:rsidRPr="001B4C86">
        <w:rPr>
          <w:rFonts w:ascii="Arial" w:hAnsi="Arial" w:cs="Arial"/>
          <w:sz w:val="24"/>
          <w:szCs w:val="24"/>
        </w:rPr>
        <w:t xml:space="preserve">Trained study personnel (nurse or clinician) collected data using a structured questionnaire and record review. </w:t>
      </w:r>
      <w:r w:rsidR="003F5500" w:rsidRPr="001B4C86">
        <w:rPr>
          <w:rFonts w:ascii="Arial" w:hAnsi="Arial" w:cs="Arial"/>
          <w:sz w:val="24"/>
          <w:szCs w:val="24"/>
        </w:rPr>
        <w:t>Face-to-face i</w:t>
      </w:r>
      <w:r w:rsidRPr="001B4C86">
        <w:rPr>
          <w:rFonts w:ascii="Arial" w:hAnsi="Arial" w:cs="Arial"/>
          <w:sz w:val="24"/>
          <w:szCs w:val="24"/>
        </w:rPr>
        <w:t>nterview</w:t>
      </w:r>
      <w:r w:rsidR="00F01523" w:rsidRPr="001B4C86">
        <w:rPr>
          <w:rFonts w:ascii="Arial" w:hAnsi="Arial" w:cs="Arial"/>
          <w:sz w:val="24"/>
          <w:szCs w:val="24"/>
        </w:rPr>
        <w:t xml:space="preserve">s </w:t>
      </w:r>
      <w:r w:rsidRPr="001B4C86">
        <w:rPr>
          <w:rFonts w:ascii="Arial" w:hAnsi="Arial" w:cs="Arial"/>
          <w:sz w:val="24"/>
          <w:szCs w:val="24"/>
        </w:rPr>
        <w:t>were conducted at 6 and 12 months post-trial entry.</w:t>
      </w:r>
      <w:r w:rsidR="003F5500" w:rsidRPr="001B4C86">
        <w:rPr>
          <w:rFonts w:ascii="Arial" w:hAnsi="Arial" w:cs="Arial"/>
          <w:sz w:val="24"/>
          <w:szCs w:val="24"/>
        </w:rPr>
        <w:t xml:space="preserve"> If face-to-face interviews were not possible patients were followed up by telephone</w:t>
      </w:r>
      <w:r w:rsidR="00E9619E">
        <w:rPr>
          <w:rFonts w:ascii="Arial" w:hAnsi="Arial" w:cs="Arial"/>
          <w:sz w:val="24"/>
          <w:szCs w:val="24"/>
        </w:rPr>
        <w:t xml:space="preserve"> (see supplementary appendix for details</w:t>
      </w:r>
      <w:proofErr w:type="gramStart"/>
      <w:r w:rsidR="00E9619E">
        <w:rPr>
          <w:rFonts w:ascii="Arial" w:hAnsi="Arial" w:cs="Arial"/>
          <w:sz w:val="24"/>
          <w:szCs w:val="24"/>
        </w:rPr>
        <w:t>)</w:t>
      </w:r>
      <w:r w:rsidR="003F5500" w:rsidRPr="001B4C86">
        <w:rPr>
          <w:rFonts w:ascii="Arial" w:hAnsi="Arial" w:cs="Arial"/>
          <w:sz w:val="24"/>
          <w:szCs w:val="24"/>
        </w:rPr>
        <w:t>.</w:t>
      </w:r>
      <w:r w:rsidRPr="001B4C86">
        <w:rPr>
          <w:rFonts w:ascii="Arial" w:hAnsi="Arial" w:cs="Arial"/>
          <w:sz w:val="24"/>
          <w:szCs w:val="24"/>
        </w:rPr>
        <w:t>.</w:t>
      </w:r>
      <w:proofErr w:type="gramEnd"/>
      <w:r w:rsidRPr="001B4C86">
        <w:rPr>
          <w:rFonts w:ascii="Arial" w:hAnsi="Arial" w:cs="Arial"/>
          <w:sz w:val="24"/>
          <w:szCs w:val="24"/>
        </w:rPr>
        <w:t xml:space="preserve"> </w:t>
      </w:r>
    </w:p>
    <w:p w14:paraId="30D9ABB0" w14:textId="77777777" w:rsidR="008F56A6" w:rsidRPr="001B4C86" w:rsidRDefault="008F56A6" w:rsidP="0029343C">
      <w:pPr>
        <w:spacing w:after="0" w:line="480" w:lineRule="auto"/>
        <w:jc w:val="both"/>
        <w:rPr>
          <w:rFonts w:ascii="Arial" w:hAnsi="Arial" w:cs="Arial"/>
          <w:sz w:val="24"/>
          <w:szCs w:val="24"/>
        </w:rPr>
      </w:pPr>
    </w:p>
    <w:p w14:paraId="545F4658" w14:textId="7714339D" w:rsidR="00585412" w:rsidRPr="001B4C86" w:rsidRDefault="00585412" w:rsidP="0029343C">
      <w:pPr>
        <w:spacing w:after="0" w:line="480" w:lineRule="auto"/>
        <w:rPr>
          <w:rFonts w:ascii="Arial" w:hAnsi="Arial" w:cs="Arial"/>
          <w:sz w:val="24"/>
          <w:szCs w:val="24"/>
        </w:rPr>
      </w:pPr>
      <w:r w:rsidRPr="001B4C86">
        <w:rPr>
          <w:rFonts w:ascii="Arial" w:hAnsi="Arial" w:cs="Arial"/>
          <w:sz w:val="24"/>
          <w:szCs w:val="24"/>
        </w:rPr>
        <w:t>S</w:t>
      </w:r>
      <w:r w:rsidR="00683F6D" w:rsidRPr="001B4C86">
        <w:rPr>
          <w:rFonts w:ascii="Arial" w:hAnsi="Arial" w:cs="Arial"/>
          <w:sz w:val="24"/>
          <w:szCs w:val="24"/>
        </w:rPr>
        <w:t>tatistical analysis</w:t>
      </w:r>
      <w:r w:rsidR="00BB1823" w:rsidRPr="001B4C86">
        <w:rPr>
          <w:rFonts w:ascii="Arial" w:hAnsi="Arial" w:cs="Arial"/>
          <w:sz w:val="24"/>
          <w:szCs w:val="24"/>
        </w:rPr>
        <w:t>.</w:t>
      </w:r>
    </w:p>
    <w:p w14:paraId="64AFC83D" w14:textId="5C824CB4" w:rsidR="008F56A6" w:rsidRPr="001B4C86" w:rsidRDefault="00585412" w:rsidP="00362930">
      <w:pPr>
        <w:spacing w:after="0" w:line="480" w:lineRule="auto"/>
        <w:jc w:val="both"/>
        <w:rPr>
          <w:rFonts w:ascii="Arial" w:hAnsi="Arial" w:cs="Arial"/>
          <w:sz w:val="24"/>
          <w:szCs w:val="24"/>
        </w:rPr>
      </w:pPr>
      <w:r w:rsidRPr="001B4C86">
        <w:rPr>
          <w:rFonts w:ascii="Arial" w:hAnsi="Arial" w:cs="Arial"/>
          <w:bCs/>
          <w:sz w:val="24"/>
          <w:szCs w:val="24"/>
        </w:rPr>
        <w:t xml:space="preserve">Stata </w:t>
      </w:r>
      <w:r w:rsidR="00EC33B3" w:rsidRPr="001B4C86">
        <w:rPr>
          <w:rFonts w:ascii="Arial" w:hAnsi="Arial" w:cs="Arial"/>
          <w:bCs/>
          <w:sz w:val="24"/>
          <w:szCs w:val="24"/>
        </w:rPr>
        <w:t>14.2</w:t>
      </w:r>
      <w:r w:rsidRPr="001B4C86">
        <w:rPr>
          <w:rFonts w:ascii="Arial" w:hAnsi="Arial" w:cs="Arial"/>
          <w:bCs/>
          <w:sz w:val="24"/>
          <w:szCs w:val="24"/>
        </w:rPr>
        <w:t xml:space="preserve">  (</w:t>
      </w:r>
      <w:proofErr w:type="spellStart"/>
      <w:r w:rsidRPr="001B4C86">
        <w:rPr>
          <w:rFonts w:ascii="Arial" w:hAnsi="Arial" w:cs="Arial"/>
          <w:bCs/>
          <w:sz w:val="24"/>
          <w:szCs w:val="24"/>
        </w:rPr>
        <w:t>StataCorp</w:t>
      </w:r>
      <w:proofErr w:type="spellEnd"/>
      <w:r w:rsidRPr="001B4C86">
        <w:rPr>
          <w:rFonts w:ascii="Arial" w:hAnsi="Arial" w:cs="Arial"/>
          <w:bCs/>
          <w:sz w:val="24"/>
          <w:szCs w:val="24"/>
        </w:rPr>
        <w:t xml:space="preserve"> LP, College Station, TX, USA) was used for statistical analysis.</w:t>
      </w:r>
      <w:r w:rsidR="00BB1823" w:rsidRPr="001B4C86">
        <w:rPr>
          <w:rFonts w:ascii="Arial" w:hAnsi="Arial" w:cs="Arial"/>
          <w:bCs/>
          <w:sz w:val="24"/>
          <w:szCs w:val="24"/>
        </w:rPr>
        <w:t xml:space="preserve"> </w:t>
      </w:r>
      <w:r w:rsidRPr="001B4C86">
        <w:rPr>
          <w:rFonts w:ascii="Arial" w:hAnsi="Arial" w:cs="Arial"/>
          <w:sz w:val="24"/>
          <w:szCs w:val="24"/>
        </w:rPr>
        <w:t xml:space="preserve">All-cause mortality at </w:t>
      </w:r>
      <w:r w:rsidR="003E1522" w:rsidRPr="001B4C86">
        <w:rPr>
          <w:rFonts w:ascii="Arial" w:hAnsi="Arial" w:cs="Arial"/>
          <w:sz w:val="24"/>
          <w:szCs w:val="24"/>
        </w:rPr>
        <w:t xml:space="preserve">10 weeks, </w:t>
      </w:r>
      <w:r w:rsidRPr="001B4C86">
        <w:rPr>
          <w:rFonts w:ascii="Arial" w:hAnsi="Arial" w:cs="Arial"/>
          <w:sz w:val="24"/>
          <w:szCs w:val="24"/>
        </w:rPr>
        <w:t xml:space="preserve">6 months and 1 year was compared between the </w:t>
      </w:r>
      <w:r w:rsidR="00EC33B3" w:rsidRPr="001B4C86">
        <w:rPr>
          <w:rFonts w:ascii="Arial" w:hAnsi="Arial" w:cs="Arial"/>
          <w:sz w:val="24"/>
          <w:szCs w:val="24"/>
        </w:rPr>
        <w:t xml:space="preserve">treatment </w:t>
      </w:r>
      <w:r w:rsidRPr="001B4C86">
        <w:rPr>
          <w:rFonts w:ascii="Arial" w:hAnsi="Arial" w:cs="Arial"/>
          <w:sz w:val="24"/>
          <w:szCs w:val="24"/>
        </w:rPr>
        <w:t>groups using log-rank tests. Kaplan–Meier plots were constructed, and Cox regression models with treatment as a predictor were used to derive hazard ratios</w:t>
      </w:r>
      <w:r w:rsidR="00C274B8" w:rsidRPr="001B4C86">
        <w:rPr>
          <w:rFonts w:ascii="Arial" w:hAnsi="Arial" w:cs="Arial"/>
          <w:sz w:val="24"/>
          <w:szCs w:val="24"/>
        </w:rPr>
        <w:t xml:space="preserve"> </w:t>
      </w:r>
      <w:r w:rsidR="008F56A6" w:rsidRPr="001B4C86">
        <w:rPr>
          <w:rFonts w:ascii="Arial" w:hAnsi="Arial" w:cs="Arial"/>
          <w:sz w:val="24"/>
          <w:szCs w:val="24"/>
        </w:rPr>
        <w:t>and 95% confi</w:t>
      </w:r>
      <w:r w:rsidR="00CC6A8F" w:rsidRPr="001B4C86">
        <w:rPr>
          <w:rFonts w:ascii="Arial" w:hAnsi="Arial" w:cs="Arial"/>
          <w:sz w:val="24"/>
          <w:szCs w:val="24"/>
        </w:rPr>
        <w:t>d</w:t>
      </w:r>
      <w:r w:rsidR="008F56A6" w:rsidRPr="001B4C86">
        <w:rPr>
          <w:rFonts w:ascii="Arial" w:hAnsi="Arial" w:cs="Arial"/>
          <w:sz w:val="24"/>
          <w:szCs w:val="24"/>
        </w:rPr>
        <w:t>ence intervals</w:t>
      </w:r>
      <w:r w:rsidR="00C274B8" w:rsidRPr="001B4C86">
        <w:rPr>
          <w:rFonts w:ascii="Arial" w:hAnsi="Arial" w:cs="Arial"/>
          <w:sz w:val="24"/>
          <w:szCs w:val="24"/>
        </w:rPr>
        <w:t xml:space="preserve"> (CI)</w:t>
      </w:r>
      <w:r w:rsidR="008F56A6" w:rsidRPr="001B4C86">
        <w:rPr>
          <w:rFonts w:ascii="Arial" w:hAnsi="Arial" w:cs="Arial"/>
          <w:sz w:val="24"/>
          <w:szCs w:val="24"/>
        </w:rPr>
        <w:t>. The analyses were also adjust</w:t>
      </w:r>
      <w:r w:rsidR="00C15F42" w:rsidRPr="001B4C86">
        <w:rPr>
          <w:rFonts w:ascii="Arial" w:hAnsi="Arial" w:cs="Arial"/>
          <w:sz w:val="24"/>
          <w:szCs w:val="24"/>
        </w:rPr>
        <w:t>ed</w:t>
      </w:r>
      <w:r w:rsidR="008F56A6" w:rsidRPr="001B4C86">
        <w:rPr>
          <w:rFonts w:ascii="Arial" w:hAnsi="Arial" w:cs="Arial"/>
          <w:sz w:val="24"/>
          <w:szCs w:val="24"/>
        </w:rPr>
        <w:t xml:space="preserve"> for pre-specified baseline covariates: site, age, sex, Glasgow Coma Scale (GCS), CD4+ cell count, </w:t>
      </w:r>
      <w:r w:rsidR="00D375C2" w:rsidRPr="001B4C86">
        <w:rPr>
          <w:rFonts w:ascii="Arial" w:hAnsi="Arial" w:cs="Arial"/>
          <w:sz w:val="24"/>
          <w:szCs w:val="24"/>
        </w:rPr>
        <w:t>cerebrospinal fluid (</w:t>
      </w:r>
      <w:r w:rsidR="008F56A6" w:rsidRPr="001B4C86">
        <w:rPr>
          <w:rFonts w:ascii="Arial" w:hAnsi="Arial" w:cs="Arial"/>
          <w:sz w:val="24"/>
          <w:szCs w:val="24"/>
        </w:rPr>
        <w:t>CSF</w:t>
      </w:r>
      <w:r w:rsidR="00D375C2" w:rsidRPr="001B4C86">
        <w:rPr>
          <w:rFonts w:ascii="Arial" w:hAnsi="Arial" w:cs="Arial"/>
          <w:sz w:val="24"/>
          <w:szCs w:val="24"/>
        </w:rPr>
        <w:t>)</w:t>
      </w:r>
      <w:r w:rsidR="008F56A6" w:rsidRPr="001B4C86">
        <w:rPr>
          <w:rFonts w:ascii="Arial" w:hAnsi="Arial" w:cs="Arial"/>
          <w:sz w:val="24"/>
          <w:szCs w:val="24"/>
        </w:rPr>
        <w:t xml:space="preserve"> fungal count and ART status</w:t>
      </w:r>
      <w:r w:rsidR="000B133F" w:rsidRPr="001B4C86">
        <w:rPr>
          <w:rFonts w:ascii="Arial" w:hAnsi="Arial" w:cs="Arial"/>
          <w:sz w:val="24"/>
          <w:szCs w:val="24"/>
        </w:rPr>
        <w:t xml:space="preserve">, and </w:t>
      </w:r>
      <w:r w:rsidR="008F56A6" w:rsidRPr="001B4C86">
        <w:rPr>
          <w:rFonts w:ascii="Arial" w:hAnsi="Arial" w:cs="Arial"/>
          <w:sz w:val="24"/>
          <w:szCs w:val="24"/>
        </w:rPr>
        <w:t>performed on both intention-to-treat (ITT) and per-protocol populations</w:t>
      </w:r>
      <w:r w:rsidR="00221225" w:rsidRPr="001B4C86">
        <w:rPr>
          <w:rFonts w:ascii="Arial" w:hAnsi="Arial" w:cs="Arial"/>
          <w:sz w:val="24"/>
          <w:szCs w:val="24"/>
        </w:rPr>
        <w:t>; as in the main tria</w:t>
      </w:r>
      <w:r w:rsidR="00E57C1E" w:rsidRPr="001B4C86">
        <w:rPr>
          <w:rFonts w:ascii="Arial" w:hAnsi="Arial" w:cs="Arial"/>
          <w:sz w:val="24"/>
          <w:szCs w:val="24"/>
        </w:rPr>
        <w:t>l analysis [</w:t>
      </w:r>
      <w:r w:rsidR="00221225" w:rsidRPr="001B4C86">
        <w:rPr>
          <w:rFonts w:ascii="Arial" w:hAnsi="Arial" w:cs="Arial"/>
          <w:sz w:val="24"/>
          <w:szCs w:val="24"/>
        </w:rPr>
        <w:t>6</w:t>
      </w:r>
      <w:r w:rsidR="00E57C1E" w:rsidRPr="001B4C86">
        <w:rPr>
          <w:rFonts w:ascii="Arial" w:hAnsi="Arial" w:cs="Arial"/>
          <w:sz w:val="24"/>
          <w:szCs w:val="24"/>
        </w:rPr>
        <w:t>]</w:t>
      </w:r>
      <w:r w:rsidR="008F56A6" w:rsidRPr="001B4C86">
        <w:rPr>
          <w:rFonts w:ascii="Arial" w:hAnsi="Arial" w:cs="Arial"/>
          <w:sz w:val="24"/>
          <w:szCs w:val="24"/>
        </w:rPr>
        <w:t>.</w:t>
      </w:r>
      <w:r w:rsidR="00241FAD" w:rsidRPr="001B4C86">
        <w:rPr>
          <w:rFonts w:ascii="Arial" w:hAnsi="Arial" w:cs="Arial"/>
          <w:sz w:val="24"/>
          <w:szCs w:val="24"/>
        </w:rPr>
        <w:t xml:space="preserve"> Analyses were undertake</w:t>
      </w:r>
      <w:r w:rsidR="0056283C" w:rsidRPr="001B4C86">
        <w:rPr>
          <w:rFonts w:ascii="Arial" w:hAnsi="Arial" w:cs="Arial"/>
          <w:sz w:val="24"/>
          <w:szCs w:val="24"/>
        </w:rPr>
        <w:t>n</w:t>
      </w:r>
      <w:r w:rsidR="00241FAD" w:rsidRPr="001B4C86">
        <w:rPr>
          <w:rFonts w:ascii="Arial" w:hAnsi="Arial" w:cs="Arial"/>
          <w:sz w:val="24"/>
          <w:szCs w:val="24"/>
        </w:rPr>
        <w:t xml:space="preserve"> to explore the consistency of the main trial results over time. </w:t>
      </w:r>
      <w:r w:rsidR="00A46994" w:rsidRPr="001B4C86">
        <w:rPr>
          <w:rFonts w:ascii="Arial" w:hAnsi="Arial" w:cs="Arial"/>
          <w:sz w:val="24"/>
          <w:szCs w:val="24"/>
        </w:rPr>
        <w:t xml:space="preserve"> </w:t>
      </w:r>
    </w:p>
    <w:p w14:paraId="7536FFA0" w14:textId="40AAE4B1" w:rsidR="00882DF5" w:rsidRPr="001B4C86" w:rsidRDefault="00882DF5" w:rsidP="0029343C">
      <w:pPr>
        <w:widowControl w:val="0"/>
        <w:autoSpaceDE w:val="0"/>
        <w:autoSpaceDN w:val="0"/>
        <w:adjustRightInd w:val="0"/>
        <w:spacing w:after="0" w:line="480" w:lineRule="auto"/>
        <w:outlineLvl w:val="0"/>
        <w:rPr>
          <w:rFonts w:ascii="Arial" w:hAnsi="Arial" w:cs="Arial"/>
          <w:sz w:val="24"/>
          <w:szCs w:val="24"/>
        </w:rPr>
      </w:pPr>
      <w:r w:rsidRPr="001B4C86">
        <w:rPr>
          <w:rFonts w:ascii="Arial" w:hAnsi="Arial" w:cs="Arial"/>
          <w:sz w:val="24"/>
          <w:szCs w:val="24"/>
        </w:rPr>
        <w:t>Ethic</w:t>
      </w:r>
      <w:r w:rsidR="001E2611" w:rsidRPr="001B4C86">
        <w:rPr>
          <w:rFonts w:ascii="Arial" w:hAnsi="Arial" w:cs="Arial"/>
          <w:sz w:val="24"/>
          <w:szCs w:val="24"/>
        </w:rPr>
        <w:t>s</w:t>
      </w:r>
      <w:r w:rsidR="00BB1823" w:rsidRPr="001B4C86">
        <w:rPr>
          <w:rFonts w:ascii="Arial" w:hAnsi="Arial" w:cs="Arial"/>
          <w:sz w:val="24"/>
          <w:szCs w:val="24"/>
        </w:rPr>
        <w:t>.</w:t>
      </w:r>
      <w:r w:rsidR="001E2611" w:rsidRPr="001B4C86">
        <w:rPr>
          <w:rFonts w:ascii="Arial" w:hAnsi="Arial" w:cs="Arial"/>
          <w:sz w:val="24"/>
          <w:szCs w:val="24"/>
        </w:rPr>
        <w:t xml:space="preserve"> </w:t>
      </w:r>
    </w:p>
    <w:p w14:paraId="2C53F778" w14:textId="2C4E253F" w:rsidR="00E14610" w:rsidRPr="001B4C86" w:rsidRDefault="00D3296B" w:rsidP="00DB555C">
      <w:pPr>
        <w:spacing w:after="0" w:line="480" w:lineRule="auto"/>
        <w:jc w:val="both"/>
        <w:rPr>
          <w:rFonts w:ascii="Arial" w:hAnsi="Arial" w:cs="Arial"/>
          <w:b/>
          <w:sz w:val="24"/>
          <w:szCs w:val="24"/>
        </w:rPr>
      </w:pPr>
      <w:bookmarkStart w:id="5" w:name="_Hlk518570292"/>
      <w:r w:rsidRPr="001B4C86">
        <w:rPr>
          <w:rFonts w:ascii="Arial" w:hAnsi="Arial" w:cs="Arial"/>
          <w:sz w:val="24"/>
          <w:szCs w:val="24"/>
        </w:rPr>
        <w:t xml:space="preserve">The </w:t>
      </w:r>
      <w:r w:rsidR="00DA52D3" w:rsidRPr="001B4C86">
        <w:rPr>
          <w:rFonts w:ascii="Arial" w:hAnsi="Arial" w:cs="Arial"/>
          <w:sz w:val="24"/>
          <w:szCs w:val="24"/>
        </w:rPr>
        <w:t xml:space="preserve">ACTA </w:t>
      </w:r>
      <w:r w:rsidR="00036C48" w:rsidRPr="001B4C86">
        <w:rPr>
          <w:rFonts w:ascii="Arial" w:hAnsi="Arial" w:cs="Arial"/>
          <w:sz w:val="24"/>
          <w:szCs w:val="24"/>
        </w:rPr>
        <w:t xml:space="preserve">trial </w:t>
      </w:r>
      <w:r w:rsidRPr="001B4C86">
        <w:rPr>
          <w:rFonts w:ascii="Arial" w:hAnsi="Arial" w:cs="Arial"/>
          <w:sz w:val="24"/>
          <w:szCs w:val="24"/>
        </w:rPr>
        <w:t>protocol</w:t>
      </w:r>
      <w:r w:rsidR="005C38DC" w:rsidRPr="001B4C86">
        <w:rPr>
          <w:rFonts w:ascii="Arial" w:hAnsi="Arial" w:cs="Arial"/>
          <w:sz w:val="24"/>
          <w:szCs w:val="24"/>
        </w:rPr>
        <w:t xml:space="preserve"> </w:t>
      </w:r>
      <w:r w:rsidRPr="001B4C86">
        <w:rPr>
          <w:rFonts w:ascii="Arial" w:hAnsi="Arial" w:cs="Arial"/>
          <w:sz w:val="24"/>
          <w:szCs w:val="24"/>
        </w:rPr>
        <w:t>was approved by</w:t>
      </w:r>
      <w:r w:rsidR="00C15F42" w:rsidRPr="001B4C86">
        <w:rPr>
          <w:rFonts w:ascii="Arial" w:hAnsi="Arial" w:cs="Arial"/>
          <w:sz w:val="24"/>
          <w:szCs w:val="24"/>
        </w:rPr>
        <w:t xml:space="preserve"> the</w:t>
      </w:r>
      <w:r w:rsidRPr="001B4C86">
        <w:rPr>
          <w:rFonts w:ascii="Arial" w:hAnsi="Arial" w:cs="Arial"/>
          <w:sz w:val="24"/>
          <w:szCs w:val="24"/>
        </w:rPr>
        <w:t xml:space="preserve"> London School of Hygiene and Tropical Med</w:t>
      </w:r>
      <w:r w:rsidR="00036C48" w:rsidRPr="001B4C86">
        <w:rPr>
          <w:rFonts w:ascii="Arial" w:hAnsi="Arial" w:cs="Arial"/>
          <w:sz w:val="24"/>
          <w:szCs w:val="24"/>
        </w:rPr>
        <w:t>icine Research Ethics Committee</w:t>
      </w:r>
      <w:r w:rsidRPr="001B4C86">
        <w:rPr>
          <w:rFonts w:ascii="Arial" w:hAnsi="Arial" w:cs="Arial"/>
          <w:sz w:val="24"/>
          <w:szCs w:val="24"/>
        </w:rPr>
        <w:t xml:space="preserve"> and by the national </w:t>
      </w:r>
      <w:r w:rsidR="00036C48" w:rsidRPr="001B4C86">
        <w:rPr>
          <w:rFonts w:ascii="Arial" w:hAnsi="Arial" w:cs="Arial"/>
          <w:sz w:val="24"/>
          <w:szCs w:val="24"/>
        </w:rPr>
        <w:t xml:space="preserve">ethics </w:t>
      </w:r>
      <w:r w:rsidRPr="001B4C86">
        <w:rPr>
          <w:rFonts w:ascii="Arial" w:hAnsi="Arial" w:cs="Arial"/>
          <w:sz w:val="24"/>
          <w:szCs w:val="24"/>
        </w:rPr>
        <w:t xml:space="preserve">and </w:t>
      </w:r>
      <w:r w:rsidRPr="001B4C86">
        <w:rPr>
          <w:rFonts w:ascii="Arial" w:hAnsi="Arial" w:cs="Arial"/>
          <w:sz w:val="24"/>
          <w:szCs w:val="24"/>
        </w:rPr>
        <w:lastRenderedPageBreak/>
        <w:t>regulatory bodies</w:t>
      </w:r>
      <w:r w:rsidR="00674179" w:rsidRPr="001B4C86">
        <w:rPr>
          <w:rFonts w:ascii="Arial" w:hAnsi="Arial" w:cs="Arial"/>
          <w:sz w:val="24"/>
          <w:szCs w:val="24"/>
        </w:rPr>
        <w:t xml:space="preserve"> in each country</w:t>
      </w:r>
      <w:r w:rsidR="007D3214" w:rsidRPr="001B4C86">
        <w:rPr>
          <w:rFonts w:ascii="Arial" w:hAnsi="Arial" w:cs="Arial"/>
          <w:sz w:val="24"/>
          <w:szCs w:val="24"/>
        </w:rPr>
        <w:t xml:space="preserve"> </w:t>
      </w:r>
      <w:r w:rsidR="007D3214" w:rsidRPr="001B4C86">
        <w:rPr>
          <w:rFonts w:ascii="Arial" w:hAnsi="Arial" w:cs="Arial"/>
          <w:sz w:val="24"/>
          <w:szCs w:val="24"/>
        </w:rPr>
        <w:fldChar w:fldCharType="begin">
          <w:fldData xml:space="preserve">PEVuZE5vdGU+PENpdGU+PEF1dGhvcj5Nb2xsb3k8L0F1dGhvcj48WWVhcj4yMDE4PC9ZZWFyPjxS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</w:fldData>
        </w:fldChar>
      </w:r>
      <w:r w:rsidR="003058FB" w:rsidRPr="001B4C86">
        <w:rPr>
          <w:rFonts w:ascii="Arial" w:hAnsi="Arial" w:cs="Arial"/>
          <w:sz w:val="24"/>
          <w:szCs w:val="24"/>
        </w:rPr>
        <w:instrText xml:space="preserve"> ADDIN EN.CITE </w:instrText>
      </w:r>
      <w:r w:rsidR="003058FB" w:rsidRPr="001B4C86">
        <w:rPr>
          <w:rFonts w:ascii="Arial" w:hAnsi="Arial" w:cs="Arial"/>
          <w:sz w:val="24"/>
          <w:szCs w:val="24"/>
        </w:rPr>
        <w:fldChar w:fldCharType="begin">
          <w:fldData xml:space="preserve">PEVuZE5vdGU+PENpdGU+PEF1dGhvcj5Nb2xsb3k8L0F1dGhvcj48WWVhcj4yMDE4PC9ZZWFyPjxS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</w:fldData>
        </w:fldChar>
      </w:r>
      <w:r w:rsidR="003058FB" w:rsidRPr="001B4C86">
        <w:rPr>
          <w:rFonts w:ascii="Arial" w:hAnsi="Arial" w:cs="Arial"/>
          <w:sz w:val="24"/>
          <w:szCs w:val="24"/>
        </w:rPr>
        <w:instrText xml:space="preserve"> ADDIN EN.CITE.DATA </w:instrText>
      </w:r>
      <w:r w:rsidR="003058FB" w:rsidRPr="001B4C86">
        <w:rPr>
          <w:rFonts w:ascii="Arial" w:hAnsi="Arial" w:cs="Arial"/>
          <w:sz w:val="24"/>
          <w:szCs w:val="24"/>
        </w:rPr>
      </w:r>
      <w:r w:rsidR="003058FB" w:rsidRPr="001B4C86">
        <w:rPr>
          <w:rFonts w:ascii="Arial" w:hAnsi="Arial" w:cs="Arial"/>
          <w:sz w:val="24"/>
          <w:szCs w:val="24"/>
        </w:rPr>
        <w:fldChar w:fldCharType="end"/>
      </w:r>
      <w:r w:rsidR="007D3214" w:rsidRPr="001B4C86">
        <w:rPr>
          <w:rFonts w:ascii="Arial" w:hAnsi="Arial" w:cs="Arial"/>
          <w:sz w:val="24"/>
          <w:szCs w:val="24"/>
        </w:rPr>
      </w:r>
      <w:r w:rsidR="007D3214" w:rsidRPr="001B4C86">
        <w:rPr>
          <w:rFonts w:ascii="Arial" w:hAnsi="Arial" w:cs="Arial"/>
          <w:sz w:val="24"/>
          <w:szCs w:val="24"/>
        </w:rPr>
        <w:fldChar w:fldCharType="separate"/>
      </w:r>
      <w:r w:rsidR="003058FB" w:rsidRPr="001B4C86">
        <w:rPr>
          <w:rFonts w:ascii="Arial" w:hAnsi="Arial" w:cs="Arial"/>
          <w:noProof/>
          <w:sz w:val="24"/>
          <w:szCs w:val="24"/>
        </w:rPr>
        <w:t>[6]</w:t>
      </w:r>
      <w:r w:rsidR="007D3214" w:rsidRPr="001B4C86">
        <w:rPr>
          <w:rFonts w:ascii="Arial" w:hAnsi="Arial" w:cs="Arial"/>
          <w:sz w:val="24"/>
          <w:szCs w:val="24"/>
        </w:rPr>
        <w:fldChar w:fldCharType="end"/>
      </w:r>
      <w:r w:rsidRPr="001B4C86">
        <w:rPr>
          <w:rFonts w:ascii="Arial" w:hAnsi="Arial" w:cs="Arial"/>
          <w:sz w:val="24"/>
          <w:szCs w:val="24"/>
        </w:rPr>
        <w:t xml:space="preserve">. </w:t>
      </w:r>
      <w:r w:rsidR="00DB555C" w:rsidRPr="001B4C86">
        <w:rPr>
          <w:rFonts w:ascii="Arial" w:hAnsi="Arial" w:cs="Arial"/>
          <w:bCs/>
          <w:sz w:val="24"/>
          <w:szCs w:val="24"/>
        </w:rPr>
        <w:t>Ethical approval</w:t>
      </w:r>
      <w:r w:rsidR="00C15F42" w:rsidRPr="001B4C86">
        <w:rPr>
          <w:rFonts w:ascii="Arial" w:hAnsi="Arial" w:cs="Arial"/>
          <w:bCs/>
          <w:sz w:val="24"/>
          <w:szCs w:val="24"/>
        </w:rPr>
        <w:t>s</w:t>
      </w:r>
      <w:r w:rsidR="00DB555C" w:rsidRPr="001B4C86">
        <w:rPr>
          <w:rFonts w:ascii="Arial" w:hAnsi="Arial" w:cs="Arial"/>
          <w:bCs/>
          <w:sz w:val="24"/>
          <w:szCs w:val="24"/>
        </w:rPr>
        <w:t xml:space="preserve"> for this sub</w:t>
      </w:r>
      <w:r w:rsidR="00CB5F27" w:rsidRPr="001B4C86">
        <w:rPr>
          <w:rFonts w:ascii="Arial" w:hAnsi="Arial" w:cs="Arial"/>
          <w:bCs/>
          <w:sz w:val="24"/>
          <w:szCs w:val="24"/>
        </w:rPr>
        <w:t>-</w:t>
      </w:r>
      <w:r w:rsidR="00DB555C" w:rsidRPr="001B4C86">
        <w:rPr>
          <w:rFonts w:ascii="Arial" w:hAnsi="Arial" w:cs="Arial"/>
          <w:bCs/>
          <w:sz w:val="24"/>
          <w:szCs w:val="24"/>
        </w:rPr>
        <w:t>study were obtained from the National Health Sciences Research Committee of Malawi (NHRSC) and University of North Carolina School of Medicine Institutional Review Board</w:t>
      </w:r>
      <w:r w:rsidR="00DB555C" w:rsidRPr="001B4C86">
        <w:rPr>
          <w:rFonts w:ascii="Arial" w:hAnsi="Arial" w:cs="Arial"/>
          <w:b/>
          <w:sz w:val="24"/>
          <w:szCs w:val="24"/>
        </w:rPr>
        <w:t xml:space="preserve">. </w:t>
      </w:r>
      <w:r w:rsidRPr="001B4C86">
        <w:rPr>
          <w:rFonts w:ascii="Arial" w:hAnsi="Arial" w:cs="Arial"/>
          <w:sz w:val="24"/>
          <w:szCs w:val="24"/>
        </w:rPr>
        <w:t>Written informed consent was obtained from all participants</w:t>
      </w:r>
      <w:r w:rsidR="00221225" w:rsidRPr="001B4C86">
        <w:rPr>
          <w:rFonts w:ascii="Arial" w:hAnsi="Arial" w:cs="Arial"/>
          <w:sz w:val="24"/>
          <w:szCs w:val="24"/>
        </w:rPr>
        <w:t xml:space="preserve"> or their next of kin</w:t>
      </w:r>
      <w:r w:rsidRPr="001B4C86">
        <w:rPr>
          <w:rFonts w:ascii="Arial" w:hAnsi="Arial" w:cs="Arial"/>
          <w:sz w:val="24"/>
          <w:szCs w:val="24"/>
        </w:rPr>
        <w:t xml:space="preserve">. </w:t>
      </w:r>
      <w:bookmarkEnd w:id="5"/>
    </w:p>
    <w:p w14:paraId="3C921A74" w14:textId="77777777" w:rsidR="00961806" w:rsidRPr="001B4C86" w:rsidRDefault="00961806" w:rsidP="0029343C">
      <w:pPr>
        <w:widowControl w:val="0"/>
        <w:autoSpaceDE w:val="0"/>
        <w:autoSpaceDN w:val="0"/>
        <w:adjustRightInd w:val="0"/>
        <w:spacing w:after="0" w:line="480" w:lineRule="auto"/>
        <w:outlineLvl w:val="0"/>
        <w:rPr>
          <w:rFonts w:ascii="Arial" w:hAnsi="Arial" w:cs="Arial"/>
          <w:b/>
          <w:sz w:val="24"/>
          <w:szCs w:val="24"/>
        </w:rPr>
      </w:pPr>
    </w:p>
    <w:p w14:paraId="71B05291" w14:textId="0330961F" w:rsidR="00BD6748" w:rsidRPr="001B4C86" w:rsidRDefault="004C34E0" w:rsidP="00BD6748">
      <w:pPr>
        <w:widowControl w:val="0"/>
        <w:autoSpaceDE w:val="0"/>
        <w:autoSpaceDN w:val="0"/>
        <w:adjustRightInd w:val="0"/>
        <w:spacing w:after="0" w:line="480" w:lineRule="auto"/>
        <w:outlineLvl w:val="0"/>
        <w:rPr>
          <w:rFonts w:ascii="Arial" w:hAnsi="Arial" w:cs="Arial"/>
          <w:b/>
          <w:sz w:val="24"/>
          <w:szCs w:val="24"/>
        </w:rPr>
      </w:pPr>
      <w:r w:rsidRPr="001B4C86">
        <w:rPr>
          <w:rFonts w:ascii="Arial" w:hAnsi="Arial" w:cs="Arial"/>
          <w:b/>
          <w:sz w:val="24"/>
          <w:szCs w:val="24"/>
        </w:rPr>
        <w:t>Result</w:t>
      </w:r>
      <w:r w:rsidR="004D0C46" w:rsidRPr="001B4C86">
        <w:rPr>
          <w:rFonts w:ascii="Arial" w:hAnsi="Arial" w:cs="Arial"/>
          <w:b/>
          <w:sz w:val="24"/>
          <w:szCs w:val="24"/>
        </w:rPr>
        <w:t>s</w:t>
      </w:r>
    </w:p>
    <w:p w14:paraId="7F9D8091" w14:textId="6CE8DC1A" w:rsidR="00585412" w:rsidRPr="001B4C86" w:rsidRDefault="00585412" w:rsidP="00362930">
      <w:pPr>
        <w:spacing w:after="0" w:line="480" w:lineRule="auto"/>
        <w:rPr>
          <w:rFonts w:ascii="Arial" w:hAnsi="Arial" w:cs="Arial"/>
          <w:sz w:val="24"/>
          <w:szCs w:val="24"/>
        </w:rPr>
      </w:pPr>
      <w:r w:rsidRPr="001B4C86">
        <w:rPr>
          <w:rFonts w:ascii="Arial" w:hAnsi="Arial" w:cs="Arial"/>
          <w:sz w:val="24"/>
          <w:szCs w:val="24"/>
        </w:rPr>
        <w:t>From January 2013 to November 2016</w:t>
      </w:r>
      <w:r w:rsidR="00BB1823" w:rsidRPr="001B4C86">
        <w:rPr>
          <w:rFonts w:ascii="Arial" w:hAnsi="Arial" w:cs="Arial"/>
          <w:sz w:val="24"/>
          <w:szCs w:val="24"/>
        </w:rPr>
        <w:t>,</w:t>
      </w:r>
      <w:r w:rsidRPr="001B4C86">
        <w:rPr>
          <w:rFonts w:ascii="Arial" w:hAnsi="Arial" w:cs="Arial"/>
          <w:sz w:val="24"/>
          <w:szCs w:val="24"/>
        </w:rPr>
        <w:t xml:space="preserve"> 236 patients were </w:t>
      </w:r>
      <w:r w:rsidR="00E22542" w:rsidRPr="001B4C86">
        <w:rPr>
          <w:rFonts w:ascii="Arial" w:hAnsi="Arial" w:cs="Arial"/>
          <w:sz w:val="24"/>
          <w:szCs w:val="24"/>
        </w:rPr>
        <w:t>randomised</w:t>
      </w:r>
      <w:r w:rsidR="000B133F" w:rsidRPr="001B4C86">
        <w:rPr>
          <w:rFonts w:ascii="Arial" w:hAnsi="Arial" w:cs="Arial"/>
          <w:sz w:val="24"/>
          <w:szCs w:val="24"/>
        </w:rPr>
        <w:t>;</w:t>
      </w:r>
      <w:r w:rsidRPr="001B4C86">
        <w:rPr>
          <w:rFonts w:ascii="Arial" w:hAnsi="Arial" w:cs="Arial"/>
          <w:sz w:val="24"/>
          <w:szCs w:val="24"/>
        </w:rPr>
        <w:t xml:space="preserve"> 186 patients in Lilongwe and 50 patients in Zomba</w:t>
      </w:r>
      <w:r w:rsidR="00362930" w:rsidRPr="001B4C86">
        <w:rPr>
          <w:rFonts w:ascii="Arial" w:hAnsi="Arial" w:cs="Arial"/>
          <w:sz w:val="24"/>
          <w:szCs w:val="24"/>
        </w:rPr>
        <w:t xml:space="preserve"> (Supplementary Figure 1)</w:t>
      </w:r>
      <w:r w:rsidRPr="001B4C86">
        <w:rPr>
          <w:rFonts w:ascii="Arial" w:hAnsi="Arial" w:cs="Arial"/>
          <w:sz w:val="24"/>
          <w:szCs w:val="24"/>
        </w:rPr>
        <w:t>. Of these, 12 patients were excluded from all analyses</w:t>
      </w:r>
      <w:r w:rsidR="00D40B0A" w:rsidRPr="001B4C86">
        <w:rPr>
          <w:rFonts w:ascii="Arial" w:hAnsi="Arial" w:cs="Arial"/>
          <w:sz w:val="24"/>
          <w:szCs w:val="24"/>
        </w:rPr>
        <w:t>, as in the main trial [6]</w:t>
      </w:r>
      <w:r w:rsidRPr="001B4C86">
        <w:rPr>
          <w:rFonts w:ascii="Arial" w:hAnsi="Arial" w:cs="Arial"/>
          <w:sz w:val="24"/>
          <w:szCs w:val="24"/>
        </w:rPr>
        <w:t xml:space="preserve">: </w:t>
      </w:r>
      <w:r w:rsidR="00BB1823" w:rsidRPr="001B4C86">
        <w:rPr>
          <w:rFonts w:ascii="Arial" w:hAnsi="Arial" w:cs="Arial"/>
          <w:sz w:val="24"/>
          <w:szCs w:val="24"/>
        </w:rPr>
        <w:t xml:space="preserve">4 </w:t>
      </w:r>
      <w:r w:rsidR="00DB555C" w:rsidRPr="001B4C86">
        <w:rPr>
          <w:rFonts w:ascii="Arial" w:hAnsi="Arial" w:cs="Arial"/>
          <w:sz w:val="24"/>
          <w:szCs w:val="24"/>
        </w:rPr>
        <w:t>did</w:t>
      </w:r>
      <w:r w:rsidR="00BB1823" w:rsidRPr="001B4C86">
        <w:rPr>
          <w:rFonts w:ascii="Arial" w:hAnsi="Arial" w:cs="Arial"/>
          <w:sz w:val="24"/>
          <w:szCs w:val="24"/>
        </w:rPr>
        <w:t xml:space="preserve"> not meet inclusion criteria (2 had previous CM and 2 were CM negative), </w:t>
      </w:r>
      <w:r w:rsidRPr="001B4C86">
        <w:rPr>
          <w:rFonts w:ascii="Arial" w:hAnsi="Arial" w:cs="Arial"/>
          <w:sz w:val="24"/>
          <w:szCs w:val="24"/>
        </w:rPr>
        <w:t xml:space="preserve">7 met pre-defined late exclusion criteria, </w:t>
      </w:r>
      <w:r w:rsidR="00BB1823" w:rsidRPr="001B4C86">
        <w:rPr>
          <w:rFonts w:ascii="Arial" w:hAnsi="Arial" w:cs="Arial"/>
          <w:sz w:val="24"/>
          <w:szCs w:val="24"/>
        </w:rPr>
        <w:t xml:space="preserve">and </w:t>
      </w:r>
      <w:r w:rsidRPr="001B4C86">
        <w:rPr>
          <w:rFonts w:ascii="Arial" w:hAnsi="Arial" w:cs="Arial"/>
          <w:sz w:val="24"/>
          <w:szCs w:val="24"/>
        </w:rPr>
        <w:t xml:space="preserve">1 immediately withdrew consent. Thus, 224 patients </w:t>
      </w:r>
      <w:r w:rsidR="00E22542" w:rsidRPr="001B4C86">
        <w:rPr>
          <w:rFonts w:ascii="Arial" w:hAnsi="Arial" w:cs="Arial"/>
          <w:sz w:val="24"/>
          <w:szCs w:val="24"/>
        </w:rPr>
        <w:t xml:space="preserve">formed </w:t>
      </w:r>
      <w:r w:rsidR="00CC6A8F" w:rsidRPr="001B4C86">
        <w:rPr>
          <w:rFonts w:ascii="Arial" w:hAnsi="Arial" w:cs="Arial"/>
          <w:sz w:val="24"/>
          <w:szCs w:val="24"/>
        </w:rPr>
        <w:t xml:space="preserve">the </w:t>
      </w:r>
      <w:r w:rsidR="00E777E4" w:rsidRPr="001B4C86">
        <w:rPr>
          <w:rFonts w:ascii="Arial" w:hAnsi="Arial" w:cs="Arial"/>
          <w:sz w:val="24"/>
          <w:szCs w:val="24"/>
        </w:rPr>
        <w:t>intention-to-</w:t>
      </w:r>
      <w:r w:rsidR="00362930" w:rsidRPr="001B4C86">
        <w:rPr>
          <w:rFonts w:ascii="Arial" w:hAnsi="Arial" w:cs="Arial"/>
          <w:sz w:val="24"/>
          <w:szCs w:val="24"/>
        </w:rPr>
        <w:t>treat (ITT)</w:t>
      </w:r>
      <w:r w:rsidRPr="001B4C86">
        <w:rPr>
          <w:rFonts w:ascii="Arial" w:hAnsi="Arial" w:cs="Arial"/>
          <w:sz w:val="24"/>
          <w:szCs w:val="24"/>
        </w:rPr>
        <w:t xml:space="preserve"> </w:t>
      </w:r>
      <w:r w:rsidR="00E22542" w:rsidRPr="001B4C86">
        <w:rPr>
          <w:rFonts w:ascii="Arial" w:hAnsi="Arial" w:cs="Arial"/>
          <w:sz w:val="24"/>
          <w:szCs w:val="24"/>
        </w:rPr>
        <w:t>population.</w:t>
      </w:r>
      <w:r w:rsidR="00CC6A8F" w:rsidRPr="001B4C86">
        <w:rPr>
          <w:rFonts w:ascii="Arial" w:hAnsi="Arial" w:cs="Arial"/>
          <w:sz w:val="24"/>
          <w:szCs w:val="24"/>
        </w:rPr>
        <w:t xml:space="preserve"> </w:t>
      </w:r>
      <w:r w:rsidR="00E22542" w:rsidRPr="001B4C86">
        <w:rPr>
          <w:rFonts w:ascii="Arial" w:hAnsi="Arial" w:cs="Arial"/>
          <w:sz w:val="24"/>
          <w:szCs w:val="24"/>
        </w:rPr>
        <w:t xml:space="preserve"> </w:t>
      </w:r>
      <w:r w:rsidR="00CC6A8F" w:rsidRPr="001B4C86">
        <w:rPr>
          <w:rFonts w:ascii="Arial" w:hAnsi="Arial" w:cs="Arial"/>
          <w:sz w:val="24"/>
          <w:szCs w:val="24"/>
        </w:rPr>
        <w:t xml:space="preserve">In total, 144 patients </w:t>
      </w:r>
      <w:r w:rsidR="00E22542" w:rsidRPr="001B4C86">
        <w:rPr>
          <w:rFonts w:ascii="Arial" w:hAnsi="Arial" w:cs="Arial"/>
          <w:sz w:val="24"/>
          <w:szCs w:val="24"/>
        </w:rPr>
        <w:t xml:space="preserve">were alive at 10 weeks and all </w:t>
      </w:r>
      <w:r w:rsidRPr="001B4C86">
        <w:rPr>
          <w:rFonts w:ascii="Arial" w:hAnsi="Arial" w:cs="Arial"/>
          <w:sz w:val="24"/>
          <w:szCs w:val="24"/>
        </w:rPr>
        <w:t xml:space="preserve">were followed </w:t>
      </w:r>
      <w:r w:rsidR="00E22542" w:rsidRPr="001B4C86">
        <w:rPr>
          <w:rFonts w:ascii="Arial" w:hAnsi="Arial" w:cs="Arial"/>
          <w:sz w:val="24"/>
          <w:szCs w:val="24"/>
        </w:rPr>
        <w:t xml:space="preserve">up at </w:t>
      </w:r>
      <w:r w:rsidR="00CB5F27" w:rsidRPr="001B4C86">
        <w:rPr>
          <w:rFonts w:ascii="Arial" w:hAnsi="Arial" w:cs="Arial"/>
          <w:sz w:val="24"/>
          <w:szCs w:val="24"/>
        </w:rPr>
        <w:t>1 year</w:t>
      </w:r>
      <w:r w:rsidR="00CC6A8F" w:rsidRPr="001B4C86">
        <w:rPr>
          <w:rFonts w:ascii="Arial" w:hAnsi="Arial" w:cs="Arial"/>
          <w:sz w:val="24"/>
          <w:szCs w:val="24"/>
        </w:rPr>
        <w:t>, with no losses to follow-up.</w:t>
      </w:r>
      <w:r w:rsidR="00BB1823" w:rsidRPr="001B4C86">
        <w:rPr>
          <w:rFonts w:ascii="Arial" w:hAnsi="Arial" w:cs="Arial"/>
          <w:sz w:val="24"/>
          <w:szCs w:val="24"/>
        </w:rPr>
        <w:t xml:space="preserve"> </w:t>
      </w:r>
    </w:p>
    <w:p w14:paraId="576EA502" w14:textId="77777777" w:rsidR="004304C4" w:rsidRPr="001B4C86" w:rsidRDefault="004304C4" w:rsidP="00362930">
      <w:pPr>
        <w:spacing w:after="0" w:line="480" w:lineRule="auto"/>
        <w:rPr>
          <w:rFonts w:ascii="Arial" w:hAnsi="Arial" w:cs="Arial"/>
          <w:sz w:val="24"/>
          <w:szCs w:val="24"/>
        </w:rPr>
      </w:pPr>
    </w:p>
    <w:p w14:paraId="174FA9F9" w14:textId="47599CA9" w:rsidR="00585412" w:rsidRPr="0022531E" w:rsidRDefault="00362930" w:rsidP="00362930">
      <w:pPr>
        <w:spacing w:after="0" w:line="480" w:lineRule="auto"/>
        <w:rPr>
          <w:rFonts w:ascii="Arial" w:hAnsi="Arial" w:cs="Arial"/>
          <w:sz w:val="24"/>
          <w:szCs w:val="24"/>
        </w:rPr>
      </w:pPr>
      <w:r w:rsidRPr="001B4C86">
        <w:rPr>
          <w:rFonts w:ascii="Arial" w:hAnsi="Arial" w:cs="Arial"/>
          <w:sz w:val="24"/>
          <w:szCs w:val="24"/>
        </w:rPr>
        <w:t>B</w:t>
      </w:r>
      <w:r w:rsidR="00585412" w:rsidRPr="001B4C86">
        <w:rPr>
          <w:rFonts w:ascii="Arial" w:hAnsi="Arial" w:cs="Arial"/>
          <w:sz w:val="24"/>
          <w:szCs w:val="24"/>
        </w:rPr>
        <w:t>aseline characteristics</w:t>
      </w:r>
      <w:r w:rsidRPr="001B4C86">
        <w:rPr>
          <w:rFonts w:ascii="Arial" w:hAnsi="Arial" w:cs="Arial"/>
          <w:sz w:val="24"/>
          <w:szCs w:val="24"/>
        </w:rPr>
        <w:t xml:space="preserve"> </w:t>
      </w:r>
      <w:r w:rsidR="00CA4056" w:rsidRPr="001B4C86">
        <w:rPr>
          <w:rFonts w:ascii="Arial" w:hAnsi="Arial" w:cs="Arial"/>
          <w:sz w:val="24"/>
          <w:szCs w:val="24"/>
        </w:rPr>
        <w:t xml:space="preserve">were consistent with those of the trial as a whole (Supplementary Tables 1, </w:t>
      </w:r>
      <w:r w:rsidR="00E54083" w:rsidRPr="001B4C86">
        <w:rPr>
          <w:rFonts w:ascii="Arial" w:hAnsi="Arial" w:cs="Arial"/>
          <w:sz w:val="24"/>
          <w:szCs w:val="24"/>
        </w:rPr>
        <w:t>3, 5</w:t>
      </w:r>
      <w:r w:rsidR="00221225" w:rsidRPr="001B4C86">
        <w:rPr>
          <w:rFonts w:ascii="Arial" w:hAnsi="Arial" w:cs="Arial"/>
          <w:sz w:val="24"/>
          <w:szCs w:val="24"/>
        </w:rPr>
        <w:t>)</w:t>
      </w:r>
      <w:r w:rsidR="00585412" w:rsidRPr="001B4C86">
        <w:rPr>
          <w:rFonts w:ascii="Arial" w:hAnsi="Arial" w:cs="Arial"/>
          <w:sz w:val="24"/>
          <w:szCs w:val="24"/>
        </w:rPr>
        <w:t>.</w:t>
      </w:r>
      <w:r w:rsidR="00CA4056" w:rsidRPr="001B4C86">
        <w:rPr>
          <w:rFonts w:ascii="Arial" w:hAnsi="Arial" w:cs="Arial"/>
          <w:sz w:val="24"/>
          <w:szCs w:val="24"/>
        </w:rPr>
        <w:t xml:space="preserve"> </w:t>
      </w:r>
      <w:r w:rsidR="00585412" w:rsidRPr="001B4C86">
        <w:rPr>
          <w:rFonts w:ascii="Arial" w:hAnsi="Arial" w:cs="Arial"/>
          <w:sz w:val="24"/>
          <w:szCs w:val="24"/>
        </w:rPr>
        <w:t xml:space="preserve">In total, 63% (141/224) of patients </w:t>
      </w:r>
      <w:r w:rsidR="00E22542" w:rsidRPr="001B4C86">
        <w:rPr>
          <w:rFonts w:ascii="Arial" w:hAnsi="Arial" w:cs="Arial"/>
          <w:sz w:val="24"/>
          <w:szCs w:val="24"/>
        </w:rPr>
        <w:t xml:space="preserve">reported that they </w:t>
      </w:r>
      <w:r w:rsidR="00585412" w:rsidRPr="001B4C86">
        <w:rPr>
          <w:rFonts w:ascii="Arial" w:hAnsi="Arial" w:cs="Arial"/>
          <w:sz w:val="24"/>
          <w:szCs w:val="24"/>
        </w:rPr>
        <w:t>were taking</w:t>
      </w:r>
      <w:r w:rsidR="00E54083" w:rsidRPr="001B4C86">
        <w:rPr>
          <w:rFonts w:ascii="Arial" w:hAnsi="Arial" w:cs="Arial"/>
          <w:sz w:val="24"/>
          <w:szCs w:val="24"/>
        </w:rPr>
        <w:t>,</w:t>
      </w:r>
      <w:r w:rsidR="00585412" w:rsidRPr="001B4C86">
        <w:rPr>
          <w:rFonts w:ascii="Arial" w:hAnsi="Arial" w:cs="Arial"/>
          <w:sz w:val="24"/>
          <w:szCs w:val="24"/>
        </w:rPr>
        <w:t xml:space="preserve"> or had previously taken</w:t>
      </w:r>
      <w:r w:rsidR="00E54083" w:rsidRPr="001B4C86">
        <w:rPr>
          <w:rFonts w:ascii="Arial" w:hAnsi="Arial" w:cs="Arial"/>
          <w:sz w:val="24"/>
          <w:szCs w:val="24"/>
        </w:rPr>
        <w:t>,</w:t>
      </w:r>
      <w:r w:rsidR="00585412" w:rsidRPr="001B4C86">
        <w:rPr>
          <w:rFonts w:ascii="Arial" w:hAnsi="Arial" w:cs="Arial"/>
          <w:sz w:val="24"/>
          <w:szCs w:val="24"/>
        </w:rPr>
        <w:t xml:space="preserve"> ART. Patients who </w:t>
      </w:r>
      <w:r w:rsidR="00E22542" w:rsidRPr="001B4C86">
        <w:rPr>
          <w:rFonts w:ascii="Arial" w:hAnsi="Arial" w:cs="Arial"/>
          <w:sz w:val="24"/>
          <w:szCs w:val="24"/>
        </w:rPr>
        <w:t xml:space="preserve">said that they </w:t>
      </w:r>
      <w:r w:rsidR="00585412" w:rsidRPr="001B4C86">
        <w:rPr>
          <w:rFonts w:ascii="Arial" w:hAnsi="Arial" w:cs="Arial"/>
          <w:sz w:val="24"/>
          <w:szCs w:val="24"/>
        </w:rPr>
        <w:t xml:space="preserve">had never taken ART started </w:t>
      </w:r>
      <w:r w:rsidR="00E22542" w:rsidRPr="001B4C86">
        <w:rPr>
          <w:rFonts w:ascii="Arial" w:hAnsi="Arial" w:cs="Arial"/>
          <w:sz w:val="24"/>
          <w:szCs w:val="24"/>
        </w:rPr>
        <w:t xml:space="preserve">ART </w:t>
      </w:r>
      <w:r w:rsidR="00585412" w:rsidRPr="001B4C86">
        <w:rPr>
          <w:rFonts w:ascii="Arial" w:hAnsi="Arial" w:cs="Arial"/>
          <w:sz w:val="24"/>
          <w:szCs w:val="24"/>
        </w:rPr>
        <w:t xml:space="preserve">at a median of 28 days (IQR: 2732) after randomization. </w:t>
      </w:r>
      <w:r w:rsidR="001D1B54" w:rsidRPr="001B4C86">
        <w:rPr>
          <w:rFonts w:ascii="Arial" w:hAnsi="Arial" w:cs="Arial"/>
          <w:sz w:val="24"/>
          <w:szCs w:val="24"/>
        </w:rPr>
        <w:t xml:space="preserve">Of the 123 participants that survived to 1 year, ART adherence data was available for 113 participants: </w:t>
      </w:r>
      <w:r w:rsidR="00CA322F" w:rsidRPr="001B4C86">
        <w:rPr>
          <w:rFonts w:ascii="Arial" w:hAnsi="Arial" w:cs="Arial"/>
          <w:sz w:val="24"/>
          <w:szCs w:val="24"/>
        </w:rPr>
        <w:t xml:space="preserve">109 participants (96.5%) </w:t>
      </w:r>
      <w:r w:rsidR="001D1B54" w:rsidRPr="001B4C86">
        <w:rPr>
          <w:rFonts w:ascii="Arial" w:hAnsi="Arial" w:cs="Arial"/>
          <w:sz w:val="24"/>
          <w:szCs w:val="24"/>
        </w:rPr>
        <w:t>were</w:t>
      </w:r>
      <w:r w:rsidR="006A59A3" w:rsidRPr="001B4C86">
        <w:rPr>
          <w:rFonts w:ascii="Arial" w:hAnsi="Arial" w:cs="Arial"/>
          <w:sz w:val="24"/>
          <w:szCs w:val="24"/>
        </w:rPr>
        <w:t xml:space="preserve"> reportedly</w:t>
      </w:r>
      <w:r w:rsidR="001D1B54" w:rsidRPr="001B4C86">
        <w:rPr>
          <w:rFonts w:ascii="Arial" w:hAnsi="Arial" w:cs="Arial"/>
          <w:sz w:val="24"/>
          <w:szCs w:val="24"/>
        </w:rPr>
        <w:t xml:space="preserve"> fully adherent. Of the 21 participants that </w:t>
      </w:r>
      <w:r w:rsidR="006A59A3" w:rsidRPr="001B4C86">
        <w:rPr>
          <w:rFonts w:ascii="Arial" w:hAnsi="Arial" w:cs="Arial"/>
          <w:sz w:val="24"/>
          <w:szCs w:val="24"/>
        </w:rPr>
        <w:t xml:space="preserve">died between 10 weeks and 1 year </w:t>
      </w:r>
      <w:r w:rsidR="00F550BF" w:rsidRPr="001B4C86">
        <w:rPr>
          <w:rFonts w:ascii="Arial" w:hAnsi="Arial" w:cs="Arial"/>
          <w:sz w:val="24"/>
          <w:szCs w:val="24"/>
        </w:rPr>
        <w:t>61.9</w:t>
      </w:r>
      <w:r w:rsidR="006A59A3" w:rsidRPr="001B4C86">
        <w:rPr>
          <w:rFonts w:ascii="Arial" w:hAnsi="Arial" w:cs="Arial"/>
          <w:sz w:val="24"/>
          <w:szCs w:val="24"/>
        </w:rPr>
        <w:t>% (</w:t>
      </w:r>
      <w:r w:rsidR="00F550BF" w:rsidRPr="001B4C86">
        <w:rPr>
          <w:rFonts w:ascii="Arial" w:hAnsi="Arial" w:cs="Arial"/>
          <w:sz w:val="24"/>
          <w:szCs w:val="24"/>
        </w:rPr>
        <w:t>13/21</w:t>
      </w:r>
      <w:r w:rsidR="006A59A3" w:rsidRPr="001B4C86">
        <w:rPr>
          <w:rFonts w:ascii="Arial" w:hAnsi="Arial" w:cs="Arial"/>
          <w:sz w:val="24"/>
          <w:szCs w:val="24"/>
        </w:rPr>
        <w:t xml:space="preserve">) </w:t>
      </w:r>
      <w:r w:rsidR="00F550BF" w:rsidRPr="001B4C86">
        <w:rPr>
          <w:rFonts w:ascii="Arial" w:hAnsi="Arial" w:cs="Arial"/>
          <w:sz w:val="24"/>
          <w:szCs w:val="24"/>
        </w:rPr>
        <w:t xml:space="preserve">were </w:t>
      </w:r>
      <w:r w:rsidR="006A59A3" w:rsidRPr="001B4C86">
        <w:rPr>
          <w:rFonts w:ascii="Arial" w:hAnsi="Arial" w:cs="Arial"/>
          <w:sz w:val="24"/>
          <w:szCs w:val="24"/>
        </w:rPr>
        <w:t xml:space="preserve">reportedly fully </w:t>
      </w:r>
      <w:r w:rsidR="006A59A3" w:rsidRPr="0022531E">
        <w:rPr>
          <w:rFonts w:ascii="Arial" w:hAnsi="Arial" w:cs="Arial"/>
          <w:sz w:val="24"/>
          <w:szCs w:val="24"/>
        </w:rPr>
        <w:t>adherent</w:t>
      </w:r>
      <w:r w:rsidR="00410397" w:rsidRPr="0022531E">
        <w:rPr>
          <w:rFonts w:ascii="Arial" w:hAnsi="Arial" w:cs="Arial"/>
          <w:sz w:val="24"/>
          <w:szCs w:val="24"/>
        </w:rPr>
        <w:t xml:space="preserve"> with no obvious imbalance of non-adherent participants between the arms.</w:t>
      </w:r>
    </w:p>
    <w:p w14:paraId="4ABD22CE" w14:textId="77777777" w:rsidR="004304C4" w:rsidRPr="001B4C86" w:rsidRDefault="004304C4" w:rsidP="00362930">
      <w:pPr>
        <w:spacing w:after="0" w:line="480" w:lineRule="auto"/>
        <w:rPr>
          <w:rFonts w:ascii="Arial" w:hAnsi="Arial" w:cs="Arial"/>
          <w:sz w:val="24"/>
          <w:szCs w:val="24"/>
        </w:rPr>
      </w:pPr>
    </w:p>
    <w:p w14:paraId="5AE3C81B" w14:textId="0444CC59" w:rsidR="00C321D7" w:rsidRPr="001B4C86" w:rsidRDefault="00786257" w:rsidP="00E82028">
      <w:pPr>
        <w:spacing w:after="0" w:line="480" w:lineRule="auto"/>
        <w:rPr>
          <w:rFonts w:ascii="Arial" w:hAnsi="Arial" w:cs="Arial"/>
          <w:sz w:val="24"/>
          <w:szCs w:val="24"/>
        </w:rPr>
      </w:pPr>
      <w:r w:rsidRPr="001B4C86">
        <w:rPr>
          <w:rFonts w:ascii="Arial" w:hAnsi="Arial" w:cs="Arial"/>
          <w:sz w:val="24"/>
          <w:szCs w:val="24"/>
        </w:rPr>
        <w:lastRenderedPageBreak/>
        <w:t>Mortality</w:t>
      </w:r>
      <w:r w:rsidR="00CA4056" w:rsidRPr="001B4C86">
        <w:rPr>
          <w:rFonts w:ascii="Arial" w:hAnsi="Arial" w:cs="Arial"/>
          <w:sz w:val="24"/>
          <w:szCs w:val="24"/>
        </w:rPr>
        <w:t xml:space="preserve"> at 10 weeks followed the main trial results</w:t>
      </w:r>
      <w:r w:rsidR="00D77341" w:rsidRPr="001B4C86">
        <w:rPr>
          <w:rFonts w:ascii="Arial" w:hAnsi="Arial" w:cs="Arial"/>
          <w:sz w:val="24"/>
          <w:szCs w:val="24"/>
        </w:rPr>
        <w:t xml:space="preserve">. </w:t>
      </w:r>
      <w:r w:rsidR="00E805D6" w:rsidRPr="001B4C86">
        <w:rPr>
          <w:rFonts w:ascii="Arial" w:hAnsi="Arial" w:cs="Arial"/>
          <w:sz w:val="24"/>
          <w:szCs w:val="24"/>
        </w:rPr>
        <w:t xml:space="preserve">Supplementary </w:t>
      </w:r>
      <w:r w:rsidR="00D77341" w:rsidRPr="001B4C86">
        <w:rPr>
          <w:rFonts w:ascii="Arial" w:hAnsi="Arial" w:cs="Arial"/>
          <w:sz w:val="24"/>
          <w:szCs w:val="24"/>
        </w:rPr>
        <w:t>t</w:t>
      </w:r>
      <w:r w:rsidR="00E805D6" w:rsidRPr="001B4C86">
        <w:rPr>
          <w:rFonts w:ascii="Arial" w:hAnsi="Arial" w:cs="Arial"/>
          <w:sz w:val="24"/>
          <w:szCs w:val="24"/>
        </w:rPr>
        <w:t>able</w:t>
      </w:r>
      <w:r w:rsidR="00D77341" w:rsidRPr="001B4C86">
        <w:rPr>
          <w:rFonts w:ascii="Arial" w:hAnsi="Arial" w:cs="Arial"/>
          <w:sz w:val="24"/>
          <w:szCs w:val="24"/>
        </w:rPr>
        <w:t xml:space="preserve">s </w:t>
      </w:r>
      <w:r w:rsidR="002D53B0" w:rsidRPr="001B4C86">
        <w:rPr>
          <w:rFonts w:ascii="Arial" w:hAnsi="Arial" w:cs="Arial"/>
          <w:sz w:val="24"/>
          <w:szCs w:val="24"/>
        </w:rPr>
        <w:t>4 and 6</w:t>
      </w:r>
      <w:r w:rsidR="00D77341" w:rsidRPr="001B4C86">
        <w:rPr>
          <w:rFonts w:ascii="Arial" w:hAnsi="Arial" w:cs="Arial"/>
          <w:sz w:val="24"/>
          <w:szCs w:val="24"/>
        </w:rPr>
        <w:t xml:space="preserve"> show results for the comparison of the 3 treatment strategies and for the comparison of the partner drug, FLU or 5FC, given with </w:t>
      </w:r>
      <w:proofErr w:type="spellStart"/>
      <w:r w:rsidR="00D77341" w:rsidRPr="001B4C86">
        <w:rPr>
          <w:rFonts w:ascii="Arial" w:hAnsi="Arial" w:cs="Arial"/>
          <w:sz w:val="24"/>
          <w:szCs w:val="24"/>
        </w:rPr>
        <w:t>AmB</w:t>
      </w:r>
      <w:proofErr w:type="spellEnd"/>
      <w:r w:rsidR="00D77341" w:rsidRPr="001B4C86">
        <w:rPr>
          <w:rFonts w:ascii="Arial" w:hAnsi="Arial" w:cs="Arial"/>
          <w:sz w:val="24"/>
          <w:szCs w:val="24"/>
        </w:rPr>
        <w:t>. Figure 1</w:t>
      </w:r>
      <w:r w:rsidR="004304C4" w:rsidRPr="001B4C86">
        <w:rPr>
          <w:rFonts w:ascii="Arial" w:hAnsi="Arial" w:cs="Arial"/>
          <w:sz w:val="24"/>
          <w:szCs w:val="24"/>
        </w:rPr>
        <w:t>A</w:t>
      </w:r>
      <w:r w:rsidR="00DF39D7" w:rsidRPr="001B4C86">
        <w:rPr>
          <w:rFonts w:ascii="Arial" w:hAnsi="Arial" w:cs="Arial"/>
          <w:sz w:val="24"/>
          <w:szCs w:val="24"/>
        </w:rPr>
        <w:t xml:space="preserve"> and B</w:t>
      </w:r>
      <w:r w:rsidR="00D77341" w:rsidRPr="001B4C86">
        <w:rPr>
          <w:rFonts w:ascii="Arial" w:hAnsi="Arial" w:cs="Arial"/>
          <w:sz w:val="24"/>
          <w:szCs w:val="24"/>
        </w:rPr>
        <w:t>, and supple</w:t>
      </w:r>
      <w:r w:rsidR="00E61F06" w:rsidRPr="001B4C86">
        <w:rPr>
          <w:rFonts w:ascii="Arial" w:hAnsi="Arial" w:cs="Arial"/>
          <w:sz w:val="24"/>
          <w:szCs w:val="24"/>
        </w:rPr>
        <w:t>mentary T</w:t>
      </w:r>
      <w:r w:rsidR="004304C4" w:rsidRPr="001B4C86">
        <w:rPr>
          <w:rFonts w:ascii="Arial" w:hAnsi="Arial" w:cs="Arial"/>
          <w:sz w:val="24"/>
          <w:szCs w:val="24"/>
        </w:rPr>
        <w:t>able 2 show the results for the comparison between the 5 treatment arms</w:t>
      </w:r>
      <w:r w:rsidR="00CB3517" w:rsidRPr="001B4C86">
        <w:rPr>
          <w:rFonts w:ascii="Arial" w:hAnsi="Arial" w:cs="Arial"/>
          <w:sz w:val="24"/>
          <w:szCs w:val="24"/>
        </w:rPr>
        <w:t>.</w:t>
      </w:r>
    </w:p>
    <w:p w14:paraId="77AE958B" w14:textId="77777777" w:rsidR="00E22542" w:rsidRPr="001B4C86" w:rsidRDefault="00E22542" w:rsidP="00E82028">
      <w:pPr>
        <w:spacing w:after="0" w:line="480" w:lineRule="auto"/>
        <w:rPr>
          <w:rFonts w:ascii="Arial" w:hAnsi="Arial" w:cs="Arial"/>
          <w:sz w:val="24"/>
          <w:szCs w:val="24"/>
        </w:rPr>
      </w:pPr>
    </w:p>
    <w:p w14:paraId="29DD24BE" w14:textId="33EDDC0B" w:rsidR="00D97562" w:rsidRPr="001B4C86" w:rsidRDefault="00C321D7" w:rsidP="00511538">
      <w:pPr>
        <w:pStyle w:val="CommentText"/>
        <w:spacing w:line="480" w:lineRule="auto"/>
        <w:rPr>
          <w:rFonts w:ascii="Arial" w:hAnsi="Arial" w:cs="Arial"/>
          <w:sz w:val="24"/>
          <w:szCs w:val="24"/>
        </w:rPr>
      </w:pPr>
      <w:r w:rsidRPr="001B4C86">
        <w:rPr>
          <w:rFonts w:ascii="Arial" w:hAnsi="Arial" w:cs="Arial"/>
          <w:sz w:val="24"/>
          <w:szCs w:val="24"/>
        </w:rPr>
        <w:t>Overall</w:t>
      </w:r>
      <w:r w:rsidR="00061296" w:rsidRPr="001B4C86">
        <w:rPr>
          <w:rFonts w:ascii="Arial" w:hAnsi="Arial" w:cs="Arial"/>
          <w:sz w:val="24"/>
          <w:szCs w:val="24"/>
        </w:rPr>
        <w:t xml:space="preserve"> mortality was </w:t>
      </w:r>
      <w:r w:rsidR="006B5504" w:rsidRPr="001B4C86">
        <w:rPr>
          <w:rFonts w:ascii="Arial" w:hAnsi="Arial" w:cs="Arial"/>
          <w:sz w:val="24"/>
          <w:szCs w:val="24"/>
        </w:rPr>
        <w:t>35.7% at 10 weeks (95%CI: 29.4-42.4, n=80/</w:t>
      </w:r>
      <w:proofErr w:type="gramStart"/>
      <w:r w:rsidR="006B5504" w:rsidRPr="001B4C86">
        <w:rPr>
          <w:rFonts w:ascii="Arial" w:hAnsi="Arial" w:cs="Arial"/>
          <w:sz w:val="24"/>
          <w:szCs w:val="24"/>
        </w:rPr>
        <w:t>224 )</w:t>
      </w:r>
      <w:proofErr w:type="gramEnd"/>
      <w:r w:rsidR="006B5504" w:rsidRPr="001B4C86">
        <w:rPr>
          <w:rFonts w:ascii="Arial" w:hAnsi="Arial" w:cs="Arial"/>
          <w:sz w:val="24"/>
          <w:szCs w:val="24"/>
        </w:rPr>
        <w:t xml:space="preserve">, </w:t>
      </w:r>
      <w:r w:rsidR="006B5504" w:rsidRPr="001B4C86">
        <w:rPr>
          <w:rFonts w:ascii="Arial" w:hAnsi="Arial" w:cs="Arial"/>
          <w:sz w:val="24"/>
          <w:szCs w:val="24"/>
        </w:rPr>
        <w:br/>
        <w:t xml:space="preserve">41.1% at 6 months (95% CI: 35.0-47.8, n=92/224), and 45.1% at 1 year (95%CI: 38.9-51.8, n=101/224). </w:t>
      </w:r>
      <w:r w:rsidR="00E22542" w:rsidRPr="001B4C86">
        <w:rPr>
          <w:rFonts w:ascii="Arial" w:hAnsi="Arial" w:cs="Arial"/>
          <w:sz w:val="24"/>
          <w:szCs w:val="24"/>
        </w:rPr>
        <w:t xml:space="preserve">. </w:t>
      </w:r>
      <w:r w:rsidR="005806DE" w:rsidRPr="001B4C86">
        <w:rPr>
          <w:rFonts w:ascii="Arial" w:hAnsi="Arial" w:cs="Arial"/>
          <w:sz w:val="24"/>
          <w:szCs w:val="24"/>
        </w:rPr>
        <w:t>Th</w:t>
      </w:r>
      <w:r w:rsidR="001762BC" w:rsidRPr="001B4C86">
        <w:rPr>
          <w:rFonts w:ascii="Arial" w:hAnsi="Arial" w:cs="Arial"/>
          <w:sz w:val="24"/>
          <w:szCs w:val="24"/>
        </w:rPr>
        <w:t xml:space="preserve">us, of those surviving to 10 weeks, </w:t>
      </w:r>
      <w:r w:rsidR="00F946F3" w:rsidRPr="001B4C86">
        <w:rPr>
          <w:rFonts w:ascii="Arial" w:hAnsi="Arial" w:cs="Arial"/>
          <w:sz w:val="24"/>
          <w:szCs w:val="24"/>
        </w:rPr>
        <w:t>85</w:t>
      </w:r>
      <w:r w:rsidR="001762BC" w:rsidRPr="001B4C86">
        <w:rPr>
          <w:rFonts w:ascii="Arial" w:hAnsi="Arial" w:cs="Arial"/>
          <w:sz w:val="24"/>
          <w:szCs w:val="24"/>
        </w:rPr>
        <w:t>%</w:t>
      </w:r>
      <w:r w:rsidR="00000BB0" w:rsidRPr="001B4C86">
        <w:rPr>
          <w:rFonts w:ascii="Arial" w:hAnsi="Arial" w:cs="Arial"/>
          <w:sz w:val="24"/>
          <w:szCs w:val="24"/>
        </w:rPr>
        <w:t xml:space="preserve"> (123/144)</w:t>
      </w:r>
      <w:r w:rsidR="001762BC" w:rsidRPr="001B4C86">
        <w:rPr>
          <w:rFonts w:ascii="Arial" w:hAnsi="Arial" w:cs="Arial"/>
          <w:sz w:val="24"/>
          <w:szCs w:val="24"/>
        </w:rPr>
        <w:t xml:space="preserve"> survived to 1 year. </w:t>
      </w:r>
      <w:r w:rsidR="00111942" w:rsidRPr="001B4C86">
        <w:rPr>
          <w:rFonts w:ascii="Arial" w:hAnsi="Arial" w:cs="Arial"/>
          <w:sz w:val="24"/>
          <w:szCs w:val="24"/>
        </w:rPr>
        <w:t>Results at 10 weeks</w:t>
      </w:r>
      <w:r w:rsidR="00D97562" w:rsidRPr="001B4C86">
        <w:rPr>
          <w:rFonts w:ascii="Arial" w:hAnsi="Arial" w:cs="Arial"/>
          <w:sz w:val="24"/>
          <w:szCs w:val="24"/>
        </w:rPr>
        <w:t xml:space="preserve"> </w:t>
      </w:r>
      <w:r w:rsidR="00C36676" w:rsidRPr="001B4C86">
        <w:rPr>
          <w:rFonts w:ascii="Arial" w:hAnsi="Arial" w:cs="Arial"/>
          <w:sz w:val="24"/>
          <w:szCs w:val="24"/>
        </w:rPr>
        <w:t>were sustained to 6 and 12 months</w:t>
      </w:r>
      <w:r w:rsidR="00111942" w:rsidRPr="001B4C86">
        <w:rPr>
          <w:rFonts w:ascii="Arial" w:hAnsi="Arial" w:cs="Arial"/>
          <w:sz w:val="24"/>
          <w:szCs w:val="24"/>
        </w:rPr>
        <w:t>. In particular, results for the 5 treatment arms are shown in Figure</w:t>
      </w:r>
      <w:r w:rsidR="00E55432" w:rsidRPr="001B4C86">
        <w:rPr>
          <w:rFonts w:ascii="Arial" w:hAnsi="Arial" w:cs="Arial"/>
          <w:sz w:val="24"/>
          <w:szCs w:val="24"/>
        </w:rPr>
        <w:t xml:space="preserve"> </w:t>
      </w:r>
      <w:r w:rsidR="00111942" w:rsidRPr="001B4C86">
        <w:rPr>
          <w:rFonts w:ascii="Arial" w:hAnsi="Arial" w:cs="Arial"/>
          <w:sz w:val="24"/>
          <w:szCs w:val="24"/>
        </w:rPr>
        <w:t>1</w:t>
      </w:r>
      <w:r w:rsidR="005806DE" w:rsidRPr="001B4C86">
        <w:rPr>
          <w:rFonts w:ascii="Arial" w:hAnsi="Arial" w:cs="Arial"/>
          <w:sz w:val="24"/>
          <w:szCs w:val="24"/>
        </w:rPr>
        <w:t xml:space="preserve">A </w:t>
      </w:r>
      <w:r w:rsidR="006C2ADC" w:rsidRPr="001B4C86">
        <w:rPr>
          <w:rFonts w:ascii="Arial" w:hAnsi="Arial" w:cs="Arial"/>
          <w:sz w:val="24"/>
          <w:szCs w:val="24"/>
        </w:rPr>
        <w:t>(adjusted analyses</w:t>
      </w:r>
      <w:r w:rsidR="00754152">
        <w:rPr>
          <w:rFonts w:ascii="Arial" w:hAnsi="Arial" w:cs="Arial"/>
          <w:sz w:val="24"/>
          <w:szCs w:val="24"/>
        </w:rPr>
        <w:t xml:space="preserve"> </w:t>
      </w:r>
      <w:r w:rsidR="0005286D">
        <w:rPr>
          <w:rFonts w:ascii="Arial" w:hAnsi="Arial" w:cs="Arial"/>
          <w:sz w:val="24"/>
          <w:szCs w:val="24"/>
        </w:rPr>
        <w:t>with 2 weeks AmB+5FC as comparator;</w:t>
      </w:r>
      <w:r w:rsidR="0005286D" w:rsidRPr="001B4C86">
        <w:rPr>
          <w:rFonts w:ascii="Arial" w:hAnsi="Arial" w:cs="Arial"/>
          <w:sz w:val="24"/>
          <w:szCs w:val="24"/>
        </w:rPr>
        <w:t xml:space="preserve"> </w:t>
      </w:r>
      <w:r w:rsidR="006C2ADC" w:rsidRPr="001B4C86">
        <w:rPr>
          <w:rFonts w:ascii="Arial" w:hAnsi="Arial" w:cs="Arial"/>
          <w:sz w:val="24"/>
          <w:szCs w:val="24"/>
        </w:rPr>
        <w:t xml:space="preserve">results </w:t>
      </w:r>
      <w:r w:rsidR="00754152">
        <w:rPr>
          <w:rFonts w:ascii="Arial" w:hAnsi="Arial" w:cs="Arial"/>
          <w:sz w:val="24"/>
          <w:szCs w:val="24"/>
        </w:rPr>
        <w:t xml:space="preserve">with </w:t>
      </w:r>
      <w:proofErr w:type="gramStart"/>
      <w:r w:rsidR="00754152">
        <w:rPr>
          <w:rFonts w:ascii="Arial" w:hAnsi="Arial" w:cs="Arial"/>
          <w:sz w:val="24"/>
          <w:szCs w:val="24"/>
        </w:rPr>
        <w:t>1 week</w:t>
      </w:r>
      <w:proofErr w:type="gramEnd"/>
      <w:r w:rsidR="00754152">
        <w:rPr>
          <w:rFonts w:ascii="Arial" w:hAnsi="Arial" w:cs="Arial"/>
          <w:sz w:val="24"/>
          <w:szCs w:val="24"/>
        </w:rPr>
        <w:t xml:space="preserve"> AmB+5FC as comparator </w:t>
      </w:r>
      <w:r w:rsidR="006C2ADC" w:rsidRPr="001B4C86">
        <w:rPr>
          <w:rFonts w:ascii="Arial" w:hAnsi="Arial" w:cs="Arial"/>
          <w:sz w:val="24"/>
          <w:szCs w:val="24"/>
        </w:rPr>
        <w:t xml:space="preserve">shown in supplementary Table2) </w:t>
      </w:r>
      <w:r w:rsidR="005806DE" w:rsidRPr="001B4C86">
        <w:rPr>
          <w:rFonts w:ascii="Arial" w:hAnsi="Arial" w:cs="Arial"/>
          <w:sz w:val="24"/>
          <w:szCs w:val="24"/>
        </w:rPr>
        <w:t xml:space="preserve">and </w:t>
      </w:r>
      <w:r w:rsidR="006C2ADC" w:rsidRPr="001B4C86">
        <w:rPr>
          <w:rFonts w:ascii="Arial" w:hAnsi="Arial" w:cs="Arial"/>
          <w:sz w:val="24"/>
          <w:szCs w:val="24"/>
        </w:rPr>
        <w:t>Figure1</w:t>
      </w:r>
      <w:r w:rsidR="00000BB0" w:rsidRPr="001B4C86">
        <w:rPr>
          <w:rFonts w:ascii="Arial" w:hAnsi="Arial" w:cs="Arial"/>
          <w:sz w:val="24"/>
          <w:szCs w:val="24"/>
        </w:rPr>
        <w:t xml:space="preserve">B and </w:t>
      </w:r>
      <w:r w:rsidR="005806DE" w:rsidRPr="001B4C86">
        <w:rPr>
          <w:rFonts w:ascii="Arial" w:hAnsi="Arial" w:cs="Arial"/>
          <w:sz w:val="24"/>
          <w:szCs w:val="24"/>
        </w:rPr>
        <w:t>C</w:t>
      </w:r>
      <w:r w:rsidR="00111942" w:rsidRPr="001B4C86">
        <w:rPr>
          <w:rFonts w:ascii="Arial" w:hAnsi="Arial" w:cs="Arial"/>
          <w:sz w:val="24"/>
          <w:szCs w:val="24"/>
        </w:rPr>
        <w:t xml:space="preserve">. </w:t>
      </w:r>
      <w:r w:rsidR="00E55432" w:rsidRPr="001B4C86">
        <w:rPr>
          <w:rFonts w:ascii="Arial" w:hAnsi="Arial" w:cs="Arial"/>
          <w:sz w:val="24"/>
          <w:szCs w:val="24"/>
        </w:rPr>
        <w:t>One</w:t>
      </w:r>
      <w:r w:rsidR="00C3320A" w:rsidRPr="001B4C86">
        <w:rPr>
          <w:rFonts w:ascii="Arial" w:hAnsi="Arial" w:cs="Arial"/>
          <w:sz w:val="24"/>
          <w:szCs w:val="24"/>
        </w:rPr>
        <w:t xml:space="preserve"> week AmB+5FC was associated with </w:t>
      </w:r>
      <w:r w:rsidR="00CB3517" w:rsidRPr="001B4C86">
        <w:rPr>
          <w:rFonts w:ascii="Arial" w:hAnsi="Arial" w:cs="Arial"/>
          <w:sz w:val="24"/>
          <w:szCs w:val="24"/>
        </w:rPr>
        <w:t>a 12 month mortality</w:t>
      </w:r>
      <w:r w:rsidR="00C3320A" w:rsidRPr="001B4C86">
        <w:rPr>
          <w:rFonts w:ascii="Arial" w:hAnsi="Arial" w:cs="Arial"/>
          <w:sz w:val="24"/>
          <w:szCs w:val="24"/>
        </w:rPr>
        <w:t xml:space="preserve"> </w:t>
      </w:r>
      <w:r w:rsidR="00D97562" w:rsidRPr="001B4C86">
        <w:rPr>
          <w:rFonts w:ascii="Arial" w:hAnsi="Arial" w:cs="Arial"/>
          <w:sz w:val="24"/>
          <w:szCs w:val="24"/>
        </w:rPr>
        <w:t xml:space="preserve">of </w:t>
      </w:r>
      <w:r w:rsidR="00C3320A" w:rsidRPr="001B4C86">
        <w:rPr>
          <w:rFonts w:ascii="Arial" w:hAnsi="Arial" w:cs="Arial"/>
          <w:sz w:val="24"/>
          <w:szCs w:val="24"/>
        </w:rPr>
        <w:t xml:space="preserve">27.5% </w:t>
      </w:r>
      <w:r w:rsidR="00D97562" w:rsidRPr="001B4C86">
        <w:rPr>
          <w:rFonts w:ascii="Arial" w:hAnsi="Arial" w:cs="Arial"/>
          <w:sz w:val="24"/>
          <w:szCs w:val="24"/>
        </w:rPr>
        <w:t>(</w:t>
      </w:r>
      <w:r w:rsidR="00C3320A" w:rsidRPr="001B4C86">
        <w:rPr>
          <w:rFonts w:ascii="Arial" w:hAnsi="Arial" w:cs="Arial"/>
          <w:sz w:val="24"/>
          <w:szCs w:val="24"/>
        </w:rPr>
        <w:t>95%CI: 16.3</w:t>
      </w:r>
      <w:r w:rsidR="00C274B8" w:rsidRPr="001B4C86">
        <w:rPr>
          <w:rFonts w:ascii="Arial" w:hAnsi="Arial" w:cs="Arial"/>
          <w:sz w:val="24"/>
          <w:szCs w:val="24"/>
        </w:rPr>
        <w:t>-</w:t>
      </w:r>
      <w:r w:rsidR="00C3320A" w:rsidRPr="001B4C86">
        <w:rPr>
          <w:rFonts w:ascii="Arial" w:hAnsi="Arial" w:cs="Arial"/>
          <w:sz w:val="24"/>
          <w:szCs w:val="24"/>
        </w:rPr>
        <w:t>44.1)</w:t>
      </w:r>
      <w:r w:rsidR="00E61F06" w:rsidRPr="001B4C86">
        <w:rPr>
          <w:rFonts w:ascii="Arial" w:hAnsi="Arial" w:cs="Arial"/>
          <w:sz w:val="24"/>
          <w:szCs w:val="24"/>
        </w:rPr>
        <w:t xml:space="preserve"> </w:t>
      </w:r>
      <w:r w:rsidR="00D97562" w:rsidRPr="001B4C86">
        <w:rPr>
          <w:rFonts w:ascii="Arial" w:hAnsi="Arial" w:cs="Arial"/>
          <w:sz w:val="24"/>
          <w:szCs w:val="24"/>
        </w:rPr>
        <w:t xml:space="preserve">which was </w:t>
      </w:r>
      <w:r w:rsidR="00E61F06" w:rsidRPr="001B4C86">
        <w:rPr>
          <w:rFonts w:ascii="Arial" w:hAnsi="Arial" w:cs="Arial"/>
          <w:sz w:val="24"/>
          <w:szCs w:val="24"/>
        </w:rPr>
        <w:t>not statistically significant</w:t>
      </w:r>
      <w:r w:rsidR="00CB3517" w:rsidRPr="001B4C86">
        <w:rPr>
          <w:rFonts w:ascii="Arial" w:hAnsi="Arial" w:cs="Arial"/>
          <w:sz w:val="24"/>
          <w:szCs w:val="24"/>
        </w:rPr>
        <w:t>ly</w:t>
      </w:r>
      <w:r w:rsidR="00D97562" w:rsidRPr="001B4C86">
        <w:rPr>
          <w:rFonts w:ascii="Arial" w:hAnsi="Arial" w:cs="Arial"/>
          <w:sz w:val="24"/>
          <w:szCs w:val="24"/>
        </w:rPr>
        <w:t xml:space="preserve"> different from that in the other arms</w:t>
      </w:r>
      <w:r w:rsidR="00C3320A" w:rsidRPr="001B4C86">
        <w:rPr>
          <w:rFonts w:ascii="Arial" w:hAnsi="Arial" w:cs="Arial"/>
          <w:sz w:val="24"/>
          <w:szCs w:val="24"/>
        </w:rPr>
        <w:t xml:space="preserve">. </w:t>
      </w:r>
      <w:r w:rsidR="00111942" w:rsidRPr="001B4C86">
        <w:rPr>
          <w:rFonts w:ascii="Arial" w:hAnsi="Arial" w:cs="Arial"/>
          <w:sz w:val="24"/>
          <w:szCs w:val="24"/>
        </w:rPr>
        <w:t xml:space="preserve">Hazard ratios </w:t>
      </w:r>
      <w:r w:rsidR="00C3320A" w:rsidRPr="001B4C86">
        <w:rPr>
          <w:rFonts w:ascii="Arial" w:hAnsi="Arial" w:cs="Arial"/>
          <w:sz w:val="24"/>
          <w:szCs w:val="24"/>
        </w:rPr>
        <w:t xml:space="preserve">for mortality, comparing </w:t>
      </w:r>
      <w:r w:rsidR="00F36777" w:rsidRPr="001B4C86">
        <w:rPr>
          <w:rFonts w:ascii="Arial" w:hAnsi="Arial" w:cs="Arial"/>
          <w:sz w:val="24"/>
          <w:szCs w:val="24"/>
        </w:rPr>
        <w:t>2</w:t>
      </w:r>
      <w:r w:rsidR="00C3320A" w:rsidRPr="001B4C86">
        <w:rPr>
          <w:rFonts w:ascii="Arial" w:hAnsi="Arial" w:cs="Arial"/>
          <w:sz w:val="24"/>
          <w:szCs w:val="24"/>
        </w:rPr>
        <w:t xml:space="preserve"> week</w:t>
      </w:r>
      <w:r w:rsidR="00F36777" w:rsidRPr="001B4C86">
        <w:rPr>
          <w:rFonts w:ascii="Arial" w:hAnsi="Arial" w:cs="Arial"/>
          <w:sz w:val="24"/>
          <w:szCs w:val="24"/>
        </w:rPr>
        <w:t>s</w:t>
      </w:r>
      <w:r w:rsidR="00C3320A" w:rsidRPr="001B4C86">
        <w:rPr>
          <w:rFonts w:ascii="Arial" w:hAnsi="Arial" w:cs="Arial"/>
          <w:sz w:val="24"/>
          <w:szCs w:val="24"/>
        </w:rPr>
        <w:t xml:space="preserve"> AmB+5FC with other treatment arms were similar at 6 and 12 months to those at 10 weeks; for example</w:t>
      </w:r>
      <w:r w:rsidR="00D8684F" w:rsidRPr="001B4C86">
        <w:rPr>
          <w:rFonts w:ascii="Arial" w:hAnsi="Arial" w:cs="Arial"/>
          <w:sz w:val="24"/>
          <w:szCs w:val="24"/>
        </w:rPr>
        <w:t xml:space="preserve">, comparing 2 weeks AmB+5FC with 1 week AmB+5FC, </w:t>
      </w:r>
      <w:r w:rsidR="00C274B8" w:rsidRPr="001B4C86">
        <w:rPr>
          <w:rFonts w:ascii="Arial" w:hAnsi="Arial" w:cs="Arial"/>
          <w:sz w:val="24"/>
          <w:szCs w:val="24"/>
        </w:rPr>
        <w:t>hazard ratios</w:t>
      </w:r>
      <w:r w:rsidR="00D8684F" w:rsidRPr="001B4C86">
        <w:rPr>
          <w:rFonts w:ascii="Arial" w:hAnsi="Arial" w:cs="Arial"/>
          <w:sz w:val="24"/>
          <w:szCs w:val="24"/>
        </w:rPr>
        <w:t xml:space="preserve"> </w:t>
      </w:r>
      <w:r w:rsidR="00C274B8" w:rsidRPr="001B4C86">
        <w:rPr>
          <w:rFonts w:ascii="Arial" w:hAnsi="Arial" w:cs="Arial"/>
          <w:sz w:val="24"/>
          <w:szCs w:val="24"/>
        </w:rPr>
        <w:t xml:space="preserve">(95%CI) </w:t>
      </w:r>
      <w:r w:rsidR="00D8684F" w:rsidRPr="001B4C86">
        <w:rPr>
          <w:rFonts w:ascii="Arial" w:hAnsi="Arial" w:cs="Arial"/>
          <w:sz w:val="24"/>
          <w:szCs w:val="24"/>
        </w:rPr>
        <w:t>were 1.91</w:t>
      </w:r>
      <w:r w:rsidR="00E61F06" w:rsidRPr="001B4C86">
        <w:rPr>
          <w:rFonts w:ascii="Arial" w:hAnsi="Arial" w:cs="Arial"/>
          <w:sz w:val="24"/>
          <w:szCs w:val="24"/>
        </w:rPr>
        <w:t xml:space="preserve"> (0.83-4.39)</w:t>
      </w:r>
      <w:r w:rsidR="00D8684F" w:rsidRPr="001B4C86">
        <w:rPr>
          <w:rFonts w:ascii="Arial" w:hAnsi="Arial" w:cs="Arial"/>
          <w:sz w:val="24"/>
          <w:szCs w:val="24"/>
        </w:rPr>
        <w:t xml:space="preserve">, 1.84 </w:t>
      </w:r>
      <w:r w:rsidR="00E61F06" w:rsidRPr="001B4C86">
        <w:rPr>
          <w:rFonts w:ascii="Arial" w:hAnsi="Arial" w:cs="Arial"/>
          <w:sz w:val="24"/>
          <w:szCs w:val="24"/>
        </w:rPr>
        <w:t xml:space="preserve">(0.86-3.95) </w:t>
      </w:r>
      <w:r w:rsidR="00D8684F" w:rsidRPr="001B4C86">
        <w:rPr>
          <w:rFonts w:ascii="Arial" w:hAnsi="Arial" w:cs="Arial"/>
          <w:sz w:val="24"/>
          <w:szCs w:val="24"/>
        </w:rPr>
        <w:t xml:space="preserve">and 1.90 </w:t>
      </w:r>
      <w:r w:rsidR="00E61F06" w:rsidRPr="001B4C86">
        <w:rPr>
          <w:rFonts w:ascii="Arial" w:hAnsi="Arial" w:cs="Arial"/>
          <w:sz w:val="24"/>
          <w:szCs w:val="24"/>
        </w:rPr>
        <w:t xml:space="preserve">(0.88-4.08) </w:t>
      </w:r>
      <w:r w:rsidR="00D8684F" w:rsidRPr="001B4C86">
        <w:rPr>
          <w:rFonts w:ascii="Arial" w:hAnsi="Arial" w:cs="Arial"/>
          <w:sz w:val="24"/>
          <w:szCs w:val="24"/>
        </w:rPr>
        <w:t>at 10 weeks, 6 months and 12 months</w:t>
      </w:r>
      <w:r w:rsidR="00E61F06" w:rsidRPr="001B4C86">
        <w:rPr>
          <w:rFonts w:ascii="Arial" w:hAnsi="Arial" w:cs="Arial"/>
          <w:sz w:val="24"/>
          <w:szCs w:val="24"/>
        </w:rPr>
        <w:t>, respectively</w:t>
      </w:r>
      <w:r w:rsidR="00F36777" w:rsidRPr="001B4C86">
        <w:rPr>
          <w:rFonts w:ascii="Arial" w:hAnsi="Arial" w:cs="Arial"/>
          <w:sz w:val="24"/>
          <w:szCs w:val="24"/>
        </w:rPr>
        <w:t xml:space="preserve"> (Supplementary Table</w:t>
      </w:r>
      <w:r w:rsidR="001B4C86">
        <w:rPr>
          <w:rFonts w:ascii="Arial" w:hAnsi="Arial" w:cs="Arial"/>
          <w:sz w:val="24"/>
          <w:szCs w:val="24"/>
        </w:rPr>
        <w:t xml:space="preserve"> </w:t>
      </w:r>
      <w:r w:rsidR="00754152">
        <w:rPr>
          <w:rFonts w:ascii="Arial" w:hAnsi="Arial" w:cs="Arial"/>
          <w:sz w:val="24"/>
          <w:szCs w:val="24"/>
        </w:rPr>
        <w:t>2</w:t>
      </w:r>
      <w:r w:rsidR="00F36777" w:rsidRPr="001B4C86">
        <w:rPr>
          <w:rFonts w:ascii="Arial" w:hAnsi="Arial" w:cs="Arial"/>
          <w:sz w:val="24"/>
          <w:szCs w:val="24"/>
        </w:rPr>
        <w:t>)</w:t>
      </w:r>
      <w:r w:rsidR="00D8684F" w:rsidRPr="001B4C86">
        <w:rPr>
          <w:rFonts w:ascii="Arial" w:hAnsi="Arial" w:cs="Arial"/>
          <w:sz w:val="24"/>
          <w:szCs w:val="24"/>
        </w:rPr>
        <w:t>.</w:t>
      </w:r>
      <w:r w:rsidR="00C3320A" w:rsidRPr="001B4C86">
        <w:rPr>
          <w:rFonts w:ascii="Arial" w:hAnsi="Arial" w:cs="Arial"/>
          <w:sz w:val="24"/>
          <w:szCs w:val="24"/>
        </w:rPr>
        <w:t xml:space="preserve"> </w:t>
      </w:r>
    </w:p>
    <w:p w14:paraId="64B54A9A" w14:textId="77777777" w:rsidR="00CB3517" w:rsidRPr="001B4C86" w:rsidRDefault="00CB3517" w:rsidP="00511538">
      <w:pPr>
        <w:pStyle w:val="CommentText"/>
        <w:spacing w:line="480" w:lineRule="auto"/>
        <w:rPr>
          <w:rFonts w:ascii="Arial" w:hAnsi="Arial" w:cs="Arial"/>
          <w:sz w:val="24"/>
          <w:szCs w:val="24"/>
        </w:rPr>
      </w:pPr>
    </w:p>
    <w:p w14:paraId="085EDA4F" w14:textId="48CE34E5" w:rsidR="009D0B74" w:rsidRPr="001B4C86" w:rsidRDefault="00D8684F" w:rsidP="009D0B74">
      <w:pPr>
        <w:pStyle w:val="CommentText"/>
        <w:spacing w:line="480" w:lineRule="auto"/>
        <w:rPr>
          <w:rFonts w:ascii="Arial" w:hAnsi="Arial" w:cs="Arial"/>
          <w:sz w:val="24"/>
          <w:szCs w:val="24"/>
        </w:rPr>
      </w:pPr>
      <w:r w:rsidRPr="001B4C86">
        <w:rPr>
          <w:rFonts w:ascii="Arial" w:hAnsi="Arial" w:cs="Arial"/>
          <w:sz w:val="24"/>
          <w:szCs w:val="24"/>
        </w:rPr>
        <w:t>These</w:t>
      </w:r>
      <w:r w:rsidR="00E61F06" w:rsidRPr="001B4C86">
        <w:rPr>
          <w:rFonts w:ascii="Arial" w:hAnsi="Arial" w:cs="Arial"/>
          <w:sz w:val="24"/>
          <w:szCs w:val="24"/>
        </w:rPr>
        <w:t xml:space="preserve"> hazard ratios are similar </w:t>
      </w:r>
      <w:r w:rsidR="00C274B8" w:rsidRPr="001B4C86">
        <w:rPr>
          <w:rFonts w:ascii="Arial" w:hAnsi="Arial" w:cs="Arial"/>
          <w:sz w:val="24"/>
          <w:szCs w:val="24"/>
        </w:rPr>
        <w:t xml:space="preserve">to those </w:t>
      </w:r>
      <w:r w:rsidRPr="001B4C86">
        <w:rPr>
          <w:rFonts w:ascii="Arial" w:hAnsi="Arial" w:cs="Arial"/>
          <w:sz w:val="24"/>
          <w:szCs w:val="24"/>
        </w:rPr>
        <w:t>for this comparison in the</w:t>
      </w:r>
      <w:r w:rsidR="00E61F06" w:rsidRPr="001B4C86">
        <w:rPr>
          <w:rFonts w:ascii="Arial" w:hAnsi="Arial" w:cs="Arial"/>
          <w:sz w:val="24"/>
          <w:szCs w:val="24"/>
        </w:rPr>
        <w:t xml:space="preserve"> tria</w:t>
      </w:r>
      <w:r w:rsidRPr="001B4C86">
        <w:rPr>
          <w:rFonts w:ascii="Arial" w:hAnsi="Arial" w:cs="Arial"/>
          <w:sz w:val="24"/>
          <w:szCs w:val="24"/>
        </w:rPr>
        <w:t>l as a whole</w:t>
      </w:r>
      <w:r w:rsidR="00E61F06" w:rsidRPr="001B4C86">
        <w:rPr>
          <w:rFonts w:ascii="Arial" w:hAnsi="Arial" w:cs="Arial"/>
          <w:sz w:val="24"/>
          <w:szCs w:val="24"/>
        </w:rPr>
        <w:t xml:space="preserve"> at 10 weeks (</w:t>
      </w:r>
      <w:r w:rsidR="00C274B8" w:rsidRPr="001B4C86">
        <w:rPr>
          <w:rFonts w:ascii="Arial" w:hAnsi="Arial" w:cs="Arial"/>
          <w:sz w:val="24"/>
          <w:szCs w:val="24"/>
        </w:rPr>
        <w:t xml:space="preserve">HR [95%CI]: </w:t>
      </w:r>
      <w:r w:rsidR="00E61F06" w:rsidRPr="001B4C86">
        <w:rPr>
          <w:rFonts w:ascii="Arial" w:hAnsi="Arial" w:cs="Arial"/>
          <w:sz w:val="24"/>
          <w:szCs w:val="24"/>
        </w:rPr>
        <w:t xml:space="preserve">1.79, </w:t>
      </w:r>
      <w:r w:rsidR="00C274B8" w:rsidRPr="001B4C86">
        <w:rPr>
          <w:rFonts w:ascii="Arial" w:hAnsi="Arial" w:cs="Arial"/>
          <w:sz w:val="24"/>
          <w:szCs w:val="24"/>
        </w:rPr>
        <w:t>[</w:t>
      </w:r>
      <w:r w:rsidR="00E61F06" w:rsidRPr="001B4C86">
        <w:rPr>
          <w:rFonts w:ascii="Arial" w:hAnsi="Arial" w:cs="Arial"/>
          <w:sz w:val="24"/>
          <w:szCs w:val="24"/>
        </w:rPr>
        <w:t>1.10-2.89</w:t>
      </w:r>
      <w:r w:rsidR="00C274B8" w:rsidRPr="001B4C86">
        <w:rPr>
          <w:rFonts w:ascii="Arial" w:hAnsi="Arial" w:cs="Arial"/>
          <w:sz w:val="24"/>
          <w:szCs w:val="24"/>
        </w:rPr>
        <w:t>]</w:t>
      </w:r>
      <w:r w:rsidR="00E61F06" w:rsidRPr="001B4C86">
        <w:rPr>
          <w:rFonts w:ascii="Arial" w:hAnsi="Arial" w:cs="Arial"/>
          <w:sz w:val="24"/>
          <w:szCs w:val="24"/>
        </w:rPr>
        <w:t xml:space="preserve"> </w:t>
      </w:r>
      <w:r w:rsidR="002338F2" w:rsidRPr="001B4C86">
        <w:rPr>
          <w:rFonts w:ascii="Arial" w:hAnsi="Arial" w:cs="Arial"/>
          <w:sz w:val="24"/>
          <w:szCs w:val="24"/>
        </w:rPr>
        <w:fldChar w:fldCharType="begin">
          <w:fldData xml:space="preserve">PEVuZE5vdGU+PENpdGU+PEF1dGhvcj5Nb2xsb3k8L0F1dGhvcj48WWVhcj4yMDE4PC9ZZWFyPjxS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</w:fldData>
        </w:fldChar>
      </w:r>
      <w:r w:rsidR="00D53BB8">
        <w:rPr>
          <w:rFonts w:ascii="Arial" w:hAnsi="Arial" w:cs="Arial"/>
          <w:sz w:val="24"/>
          <w:szCs w:val="24"/>
        </w:rPr>
        <w:instrText xml:space="preserve"> ADDIN EN.CITE </w:instrText>
      </w:r>
      <w:r w:rsidR="00D53BB8">
        <w:rPr>
          <w:rFonts w:ascii="Arial" w:hAnsi="Arial" w:cs="Arial"/>
          <w:sz w:val="24"/>
          <w:szCs w:val="24"/>
        </w:rPr>
        <w:fldChar w:fldCharType="begin">
          <w:fldData xml:space="preserve">PEVuZE5vdGU+PENpdGU+PEF1dGhvcj5Nb2xsb3k8L0F1dGhvcj48WWVhcj4yMDE4PC9ZZWFyPjxS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</w:fldData>
        </w:fldChar>
      </w:r>
      <w:r w:rsidR="00D53BB8">
        <w:rPr>
          <w:rFonts w:ascii="Arial" w:hAnsi="Arial" w:cs="Arial"/>
          <w:sz w:val="24"/>
          <w:szCs w:val="24"/>
        </w:rPr>
        <w:instrText xml:space="preserve"> ADDIN EN.CITE.DATA </w:instrText>
      </w:r>
      <w:r w:rsidR="00D53BB8">
        <w:rPr>
          <w:rFonts w:ascii="Arial" w:hAnsi="Arial" w:cs="Arial"/>
          <w:sz w:val="24"/>
          <w:szCs w:val="24"/>
        </w:rPr>
      </w:r>
      <w:r w:rsidR="00D53BB8">
        <w:rPr>
          <w:rFonts w:ascii="Arial" w:hAnsi="Arial" w:cs="Arial"/>
          <w:sz w:val="24"/>
          <w:szCs w:val="24"/>
        </w:rPr>
        <w:fldChar w:fldCharType="end"/>
      </w:r>
      <w:r w:rsidR="002338F2" w:rsidRPr="001B4C86">
        <w:rPr>
          <w:rFonts w:ascii="Arial" w:hAnsi="Arial" w:cs="Arial"/>
          <w:sz w:val="24"/>
          <w:szCs w:val="24"/>
        </w:rPr>
      </w:r>
      <w:r w:rsidR="002338F2" w:rsidRPr="001B4C86">
        <w:rPr>
          <w:rFonts w:ascii="Arial" w:hAnsi="Arial" w:cs="Arial"/>
          <w:sz w:val="24"/>
          <w:szCs w:val="24"/>
        </w:rPr>
        <w:fldChar w:fldCharType="separate"/>
      </w:r>
      <w:r w:rsidR="003058FB" w:rsidRPr="001B4C86">
        <w:rPr>
          <w:rFonts w:ascii="Arial" w:hAnsi="Arial" w:cs="Arial"/>
          <w:noProof/>
          <w:sz w:val="24"/>
          <w:szCs w:val="24"/>
        </w:rPr>
        <w:t>[6]</w:t>
      </w:r>
      <w:r w:rsidR="002338F2" w:rsidRPr="001B4C86">
        <w:rPr>
          <w:rFonts w:ascii="Arial" w:hAnsi="Arial" w:cs="Arial"/>
          <w:sz w:val="24"/>
          <w:szCs w:val="24"/>
        </w:rPr>
        <w:fldChar w:fldCharType="end"/>
      </w:r>
      <w:r w:rsidR="00E61F06" w:rsidRPr="001B4C86">
        <w:rPr>
          <w:rFonts w:ascii="Arial" w:hAnsi="Arial" w:cs="Arial"/>
          <w:sz w:val="24"/>
          <w:szCs w:val="24"/>
        </w:rPr>
        <w:t>).</w:t>
      </w:r>
      <w:r w:rsidR="00241FAD" w:rsidRPr="001B4C86">
        <w:rPr>
          <w:rFonts w:ascii="Arial" w:hAnsi="Arial" w:cs="Arial"/>
          <w:sz w:val="24"/>
          <w:szCs w:val="24"/>
        </w:rPr>
        <w:t xml:space="preserve"> Results at all time points were similar for adjusted and unadjusted and for </w:t>
      </w:r>
      <w:r w:rsidR="00C274B8" w:rsidRPr="001B4C86">
        <w:rPr>
          <w:rFonts w:ascii="Arial" w:hAnsi="Arial" w:cs="Arial"/>
          <w:sz w:val="24"/>
          <w:szCs w:val="24"/>
        </w:rPr>
        <w:t>ITT</w:t>
      </w:r>
      <w:r w:rsidR="00241FAD" w:rsidRPr="001B4C86">
        <w:rPr>
          <w:rFonts w:ascii="Arial" w:hAnsi="Arial" w:cs="Arial"/>
          <w:sz w:val="24"/>
          <w:szCs w:val="24"/>
        </w:rPr>
        <w:t xml:space="preserve"> and per protocol analyses. </w:t>
      </w:r>
      <w:r w:rsidR="00F946F3" w:rsidRPr="001B4C86">
        <w:rPr>
          <w:rFonts w:ascii="Arial" w:hAnsi="Arial" w:cs="Arial"/>
          <w:sz w:val="24"/>
          <w:szCs w:val="24"/>
        </w:rPr>
        <w:t xml:space="preserve">When </w:t>
      </w:r>
      <w:r w:rsidR="002A1F74" w:rsidRPr="001B4C86">
        <w:rPr>
          <w:rFonts w:ascii="Arial" w:hAnsi="Arial" w:cs="Arial"/>
          <w:sz w:val="24"/>
          <w:szCs w:val="24"/>
        </w:rPr>
        <w:t>mortality</w:t>
      </w:r>
      <w:r w:rsidR="00F946F3" w:rsidRPr="001B4C86">
        <w:rPr>
          <w:rFonts w:ascii="Arial" w:hAnsi="Arial" w:cs="Arial"/>
          <w:sz w:val="24"/>
          <w:szCs w:val="24"/>
        </w:rPr>
        <w:t xml:space="preserve"> between 10 weeks and 1 </w:t>
      </w:r>
      <w:r w:rsidR="002A1F74" w:rsidRPr="001B4C86">
        <w:rPr>
          <w:rFonts w:ascii="Arial" w:hAnsi="Arial" w:cs="Arial"/>
          <w:sz w:val="24"/>
          <w:szCs w:val="24"/>
        </w:rPr>
        <w:t xml:space="preserve">year was </w:t>
      </w:r>
      <w:proofErr w:type="spellStart"/>
      <w:r w:rsidR="002A1F74" w:rsidRPr="001B4C86">
        <w:rPr>
          <w:rFonts w:ascii="Arial" w:hAnsi="Arial" w:cs="Arial"/>
          <w:sz w:val="24"/>
          <w:szCs w:val="24"/>
        </w:rPr>
        <w:t>analysed</w:t>
      </w:r>
      <w:proofErr w:type="spellEnd"/>
      <w:r w:rsidR="002A1F74" w:rsidRPr="001B4C86">
        <w:rPr>
          <w:rFonts w:ascii="Arial" w:hAnsi="Arial" w:cs="Arial"/>
          <w:sz w:val="24"/>
          <w:szCs w:val="24"/>
        </w:rPr>
        <w:t xml:space="preserve">, there was no difference between </w:t>
      </w:r>
      <w:r w:rsidR="002A1F74" w:rsidRPr="001B4C86">
        <w:rPr>
          <w:rFonts w:ascii="Arial" w:hAnsi="Arial" w:cs="Arial"/>
          <w:sz w:val="24"/>
          <w:szCs w:val="24"/>
        </w:rPr>
        <w:lastRenderedPageBreak/>
        <w:t>groups, as expected, although 1</w:t>
      </w:r>
      <w:r w:rsidR="00E55432" w:rsidRPr="001B4C86">
        <w:rPr>
          <w:rFonts w:ascii="Arial" w:hAnsi="Arial" w:cs="Arial"/>
          <w:sz w:val="24"/>
          <w:szCs w:val="24"/>
        </w:rPr>
        <w:t xml:space="preserve"> </w:t>
      </w:r>
      <w:r w:rsidR="002A1F74" w:rsidRPr="001B4C86">
        <w:rPr>
          <w:rFonts w:ascii="Arial" w:hAnsi="Arial" w:cs="Arial"/>
          <w:sz w:val="24"/>
          <w:szCs w:val="24"/>
        </w:rPr>
        <w:t>w</w:t>
      </w:r>
      <w:r w:rsidR="00E55432" w:rsidRPr="001B4C86">
        <w:rPr>
          <w:rFonts w:ascii="Arial" w:hAnsi="Arial" w:cs="Arial"/>
          <w:sz w:val="24"/>
          <w:szCs w:val="24"/>
        </w:rPr>
        <w:t>ee</w:t>
      </w:r>
      <w:r w:rsidR="002A1F74" w:rsidRPr="001B4C86">
        <w:rPr>
          <w:rFonts w:ascii="Arial" w:hAnsi="Arial" w:cs="Arial"/>
          <w:sz w:val="24"/>
          <w:szCs w:val="24"/>
        </w:rPr>
        <w:t>k AmB+5FC had lowest</w:t>
      </w:r>
      <w:r w:rsidR="009D0B74" w:rsidRPr="001B4C86">
        <w:rPr>
          <w:rFonts w:ascii="Arial" w:hAnsi="Arial" w:cs="Arial"/>
          <w:sz w:val="24"/>
          <w:szCs w:val="24"/>
        </w:rPr>
        <w:t xml:space="preserve"> proportion of late deaths, 2/31 (6%).</w:t>
      </w:r>
    </w:p>
    <w:p w14:paraId="2D152BB1" w14:textId="7313A0F5" w:rsidR="00A82693" w:rsidRPr="001B4C86" w:rsidRDefault="004A21DB" w:rsidP="009D0B74">
      <w:pPr>
        <w:pStyle w:val="CommentText"/>
        <w:spacing w:line="480" w:lineRule="auto"/>
        <w:rPr>
          <w:rFonts w:ascii="Arial" w:hAnsi="Arial" w:cs="Arial"/>
          <w:sz w:val="24"/>
          <w:szCs w:val="24"/>
        </w:rPr>
      </w:pPr>
      <w:r w:rsidRPr="001B4C86">
        <w:rPr>
          <w:rFonts w:ascii="Arial" w:hAnsi="Arial" w:cs="Arial"/>
          <w:sz w:val="24"/>
          <w:szCs w:val="24"/>
        </w:rPr>
        <w:t>C</w:t>
      </w:r>
      <w:r w:rsidR="007C29B7" w:rsidRPr="001B4C86">
        <w:rPr>
          <w:rFonts w:ascii="Arial" w:hAnsi="Arial" w:cs="Arial"/>
          <w:sz w:val="24"/>
          <w:szCs w:val="24"/>
        </w:rPr>
        <w:t xml:space="preserve">omparing </w:t>
      </w:r>
      <w:proofErr w:type="spellStart"/>
      <w:r w:rsidR="007C29B7" w:rsidRPr="001B4C86">
        <w:rPr>
          <w:rFonts w:ascii="Arial" w:hAnsi="Arial" w:cs="Arial"/>
          <w:sz w:val="24"/>
          <w:szCs w:val="24"/>
        </w:rPr>
        <w:t>AmB</w:t>
      </w:r>
      <w:proofErr w:type="spellEnd"/>
      <w:r w:rsidR="007C29B7" w:rsidRPr="001B4C86">
        <w:rPr>
          <w:rFonts w:ascii="Arial" w:hAnsi="Arial" w:cs="Arial"/>
          <w:sz w:val="24"/>
          <w:szCs w:val="24"/>
        </w:rPr>
        <w:t xml:space="preserve"> partner drugs, </w:t>
      </w:r>
      <w:r w:rsidR="00241FAD" w:rsidRPr="001B4C86">
        <w:rPr>
          <w:rFonts w:ascii="Arial" w:hAnsi="Arial" w:cs="Arial"/>
          <w:sz w:val="24"/>
          <w:szCs w:val="24"/>
        </w:rPr>
        <w:t>t</w:t>
      </w:r>
      <w:r w:rsidR="007C29B7" w:rsidRPr="001B4C86">
        <w:rPr>
          <w:rFonts w:ascii="Arial" w:hAnsi="Arial" w:cs="Arial"/>
          <w:sz w:val="24"/>
          <w:szCs w:val="24"/>
        </w:rPr>
        <w:t xml:space="preserve">he hazard of death was </w:t>
      </w:r>
      <w:r w:rsidR="00D97562" w:rsidRPr="001B4C86">
        <w:rPr>
          <w:rFonts w:ascii="Arial" w:hAnsi="Arial" w:cs="Arial"/>
          <w:sz w:val="24"/>
          <w:szCs w:val="24"/>
        </w:rPr>
        <w:t xml:space="preserve">significantly lower </w:t>
      </w:r>
      <w:r w:rsidR="007C29B7" w:rsidRPr="001B4C86">
        <w:rPr>
          <w:rFonts w:ascii="Arial" w:hAnsi="Arial" w:cs="Arial"/>
          <w:sz w:val="24"/>
          <w:szCs w:val="24"/>
        </w:rPr>
        <w:t xml:space="preserve">for </w:t>
      </w:r>
      <w:r w:rsidR="001D1B54" w:rsidRPr="001B4C86">
        <w:rPr>
          <w:rFonts w:ascii="Arial" w:hAnsi="Arial" w:cs="Arial"/>
          <w:sz w:val="24"/>
          <w:szCs w:val="24"/>
        </w:rPr>
        <w:t>participants</w:t>
      </w:r>
      <w:r w:rsidR="007C29B7" w:rsidRPr="001B4C86">
        <w:rPr>
          <w:rFonts w:ascii="Arial" w:hAnsi="Arial" w:cs="Arial"/>
          <w:sz w:val="24"/>
          <w:szCs w:val="24"/>
        </w:rPr>
        <w:t xml:space="preserve"> administer</w:t>
      </w:r>
      <w:r w:rsidR="00A82693" w:rsidRPr="001B4C86">
        <w:rPr>
          <w:rFonts w:ascii="Arial" w:hAnsi="Arial" w:cs="Arial"/>
          <w:sz w:val="24"/>
          <w:szCs w:val="24"/>
        </w:rPr>
        <w:t>ed</w:t>
      </w:r>
      <w:r w:rsidR="007C29B7" w:rsidRPr="001B4C86">
        <w:rPr>
          <w:rFonts w:ascii="Arial" w:hAnsi="Arial" w:cs="Arial"/>
          <w:sz w:val="24"/>
          <w:szCs w:val="24"/>
        </w:rPr>
        <w:t xml:space="preserve"> 5FC compared to those taking FLU at </w:t>
      </w:r>
      <w:r w:rsidR="00C36E3E" w:rsidRPr="001B4C86">
        <w:rPr>
          <w:rFonts w:ascii="Arial" w:hAnsi="Arial" w:cs="Arial"/>
          <w:sz w:val="24"/>
          <w:szCs w:val="24"/>
        </w:rPr>
        <w:t>all</w:t>
      </w:r>
      <w:r w:rsidR="007C29B7" w:rsidRPr="001B4C86">
        <w:rPr>
          <w:rFonts w:ascii="Arial" w:hAnsi="Arial" w:cs="Arial"/>
          <w:sz w:val="24"/>
          <w:szCs w:val="24"/>
        </w:rPr>
        <w:t xml:space="preserve"> time point</w:t>
      </w:r>
      <w:r w:rsidR="00C36E3E" w:rsidRPr="001B4C86">
        <w:rPr>
          <w:rFonts w:ascii="Arial" w:hAnsi="Arial" w:cs="Arial"/>
          <w:sz w:val="24"/>
          <w:szCs w:val="24"/>
        </w:rPr>
        <w:t>s</w:t>
      </w:r>
      <w:r w:rsidR="007C29B7" w:rsidRPr="001B4C86">
        <w:rPr>
          <w:rFonts w:ascii="Arial" w:hAnsi="Arial" w:cs="Arial"/>
          <w:sz w:val="24"/>
          <w:szCs w:val="24"/>
        </w:rPr>
        <w:t xml:space="preserve"> (1 year: HR: 0.56, 95%CI: 0.34</w:t>
      </w:r>
      <w:r w:rsidR="00C274B8" w:rsidRPr="001B4C86">
        <w:rPr>
          <w:rFonts w:ascii="Arial" w:hAnsi="Arial" w:cs="Arial"/>
          <w:sz w:val="24"/>
          <w:szCs w:val="24"/>
        </w:rPr>
        <w:t>-</w:t>
      </w:r>
      <w:r w:rsidR="007C29B7" w:rsidRPr="001B4C86">
        <w:rPr>
          <w:rFonts w:ascii="Arial" w:hAnsi="Arial" w:cs="Arial"/>
          <w:sz w:val="24"/>
          <w:szCs w:val="24"/>
        </w:rPr>
        <w:t>0.91</w:t>
      </w:r>
      <w:r w:rsidR="00F925E6" w:rsidRPr="001B4C86">
        <w:rPr>
          <w:rFonts w:ascii="Arial" w:hAnsi="Arial" w:cs="Arial"/>
          <w:sz w:val="24"/>
          <w:szCs w:val="24"/>
        </w:rPr>
        <w:t>,</w:t>
      </w:r>
      <w:r w:rsidR="007C29B7" w:rsidRPr="001B4C86">
        <w:rPr>
          <w:rFonts w:ascii="Arial" w:hAnsi="Arial" w:cs="Arial"/>
          <w:sz w:val="24"/>
          <w:szCs w:val="24"/>
        </w:rPr>
        <w:t xml:space="preserve"> log</w:t>
      </w:r>
      <w:r w:rsidR="00CA322F" w:rsidRPr="001B4C86">
        <w:rPr>
          <w:rFonts w:ascii="Arial" w:hAnsi="Arial" w:cs="Arial"/>
          <w:sz w:val="24"/>
          <w:szCs w:val="24"/>
        </w:rPr>
        <w:t>-</w:t>
      </w:r>
      <w:r w:rsidR="007C29B7" w:rsidRPr="001B4C86">
        <w:rPr>
          <w:rFonts w:ascii="Arial" w:hAnsi="Arial" w:cs="Arial"/>
          <w:sz w:val="24"/>
          <w:szCs w:val="24"/>
        </w:rPr>
        <w:t>rank p-value</w:t>
      </w:r>
      <w:r w:rsidR="00C274B8" w:rsidRPr="001B4C86">
        <w:rPr>
          <w:rFonts w:ascii="Arial" w:hAnsi="Arial" w:cs="Arial"/>
          <w:sz w:val="24"/>
          <w:szCs w:val="24"/>
        </w:rPr>
        <w:t xml:space="preserve">: </w:t>
      </w:r>
      <w:r w:rsidR="007C29B7" w:rsidRPr="001B4C86">
        <w:rPr>
          <w:rFonts w:ascii="Arial" w:hAnsi="Arial" w:cs="Arial"/>
          <w:sz w:val="24"/>
          <w:szCs w:val="24"/>
        </w:rPr>
        <w:t>0.02) (Supplementary Table</w:t>
      </w:r>
      <w:r w:rsidR="00754152">
        <w:rPr>
          <w:rFonts w:ascii="Arial" w:hAnsi="Arial" w:cs="Arial"/>
          <w:sz w:val="24"/>
          <w:szCs w:val="24"/>
        </w:rPr>
        <w:t xml:space="preserve"> </w:t>
      </w:r>
      <w:r w:rsidR="007C29B7" w:rsidRPr="001B4C86">
        <w:rPr>
          <w:rFonts w:ascii="Arial" w:hAnsi="Arial" w:cs="Arial"/>
          <w:sz w:val="24"/>
          <w:szCs w:val="24"/>
        </w:rPr>
        <w:t xml:space="preserve">6). </w:t>
      </w:r>
    </w:p>
    <w:p w14:paraId="18F843F1" w14:textId="77777777" w:rsidR="00741837" w:rsidRPr="001B4C86" w:rsidRDefault="00741837" w:rsidP="00585412">
      <w:pPr>
        <w:rPr>
          <w:rFonts w:ascii="Arial" w:hAnsi="Arial"/>
          <w:noProof/>
          <w:sz w:val="24"/>
          <w:szCs w:val="24"/>
        </w:rPr>
      </w:pPr>
    </w:p>
    <w:p w14:paraId="400345AC" w14:textId="3D6B6BD2" w:rsidR="00A1502E" w:rsidRPr="001B4C86" w:rsidRDefault="00A1502E" w:rsidP="00A82693">
      <w:pPr>
        <w:spacing w:after="0" w:line="480" w:lineRule="auto"/>
        <w:rPr>
          <w:rFonts w:ascii="Arial" w:eastAsia="Times New Roman" w:hAnsi="Arial" w:cs="Arial"/>
          <w:sz w:val="24"/>
          <w:szCs w:val="24"/>
          <w:lang w:eastAsia="en-GB"/>
        </w:rPr>
      </w:pPr>
      <w:r w:rsidRPr="001B4C86">
        <w:rPr>
          <w:rFonts w:ascii="Arial" w:eastAsia="Times New Roman" w:hAnsi="Arial" w:cs="Arial"/>
          <w:sz w:val="24"/>
          <w:szCs w:val="24"/>
          <w:lang w:eastAsia="en-GB"/>
        </w:rPr>
        <w:t xml:space="preserve">There was no evidence for a difference in mortality </w:t>
      </w:r>
      <w:r w:rsidR="00241FAD" w:rsidRPr="001B4C86">
        <w:rPr>
          <w:rFonts w:ascii="Arial" w:eastAsia="Times New Roman" w:hAnsi="Arial" w:cs="Arial"/>
          <w:sz w:val="24"/>
          <w:szCs w:val="24"/>
          <w:lang w:eastAsia="en-GB"/>
        </w:rPr>
        <w:t xml:space="preserve">at 12 months </w:t>
      </w:r>
      <w:r w:rsidRPr="001B4C86">
        <w:rPr>
          <w:rFonts w:ascii="Arial" w:eastAsia="Times New Roman" w:hAnsi="Arial" w:cs="Arial"/>
          <w:sz w:val="24"/>
          <w:szCs w:val="24"/>
          <w:lang w:eastAsia="en-GB"/>
        </w:rPr>
        <w:t xml:space="preserve">between </w:t>
      </w:r>
      <w:r w:rsidR="001D1B54" w:rsidRPr="001B4C86">
        <w:rPr>
          <w:rFonts w:ascii="Arial" w:hAnsi="Arial" w:cs="Arial"/>
          <w:sz w:val="24"/>
          <w:szCs w:val="24"/>
        </w:rPr>
        <w:t>participants</w:t>
      </w:r>
      <w:r w:rsidRPr="001B4C86">
        <w:rPr>
          <w:rFonts w:ascii="Arial" w:eastAsia="Times New Roman" w:hAnsi="Arial" w:cs="Arial"/>
          <w:sz w:val="24"/>
          <w:szCs w:val="24"/>
          <w:lang w:eastAsia="en-GB"/>
        </w:rPr>
        <w:t xml:space="preserve"> who </w:t>
      </w:r>
      <w:r w:rsidR="00E11A14" w:rsidRPr="001B4C86">
        <w:rPr>
          <w:rFonts w:ascii="Arial" w:eastAsia="Times New Roman" w:hAnsi="Arial" w:cs="Arial"/>
          <w:sz w:val="24"/>
          <w:szCs w:val="24"/>
          <w:lang w:eastAsia="en-GB"/>
        </w:rPr>
        <w:t xml:space="preserve">had previously been exposed to ART (43.4%) </w:t>
      </w:r>
      <w:r w:rsidR="00EC58D4" w:rsidRPr="001B4C86">
        <w:rPr>
          <w:rFonts w:ascii="Arial" w:eastAsia="Times New Roman" w:hAnsi="Arial" w:cs="Arial"/>
          <w:sz w:val="24"/>
          <w:szCs w:val="24"/>
          <w:lang w:eastAsia="en-GB"/>
        </w:rPr>
        <w:t xml:space="preserve">and unexposed </w:t>
      </w:r>
      <w:r w:rsidR="001D1B54" w:rsidRPr="001B4C86">
        <w:rPr>
          <w:rFonts w:ascii="Arial" w:hAnsi="Arial" w:cs="Arial"/>
          <w:sz w:val="24"/>
          <w:szCs w:val="24"/>
        </w:rPr>
        <w:t>participants</w:t>
      </w:r>
      <w:r w:rsidRPr="001B4C86">
        <w:rPr>
          <w:rFonts w:ascii="Arial" w:eastAsia="Times New Roman" w:hAnsi="Arial" w:cs="Arial"/>
          <w:sz w:val="24"/>
          <w:szCs w:val="24"/>
          <w:lang w:eastAsia="en-GB"/>
        </w:rPr>
        <w:t xml:space="preserve"> (48.2%) (HR: 0.89</w:t>
      </w:r>
      <w:r w:rsidR="00700186" w:rsidRPr="001B4C86">
        <w:rPr>
          <w:rFonts w:ascii="Arial" w:eastAsia="Times New Roman" w:hAnsi="Arial" w:cs="Arial"/>
          <w:sz w:val="24"/>
          <w:szCs w:val="24"/>
          <w:lang w:eastAsia="en-GB"/>
        </w:rPr>
        <w:t xml:space="preserve">, </w:t>
      </w:r>
      <w:r w:rsidRPr="001B4C86">
        <w:rPr>
          <w:rFonts w:ascii="Arial" w:eastAsia="Times New Roman" w:hAnsi="Arial" w:cs="Arial"/>
          <w:sz w:val="24"/>
          <w:szCs w:val="24"/>
          <w:lang w:eastAsia="en-GB"/>
        </w:rPr>
        <w:t>95%CI: 0.60</w:t>
      </w:r>
      <w:r w:rsidR="00C274B8" w:rsidRPr="001B4C86">
        <w:rPr>
          <w:rFonts w:ascii="Arial" w:eastAsia="Times New Roman" w:hAnsi="Arial" w:cs="Arial"/>
          <w:sz w:val="24"/>
          <w:szCs w:val="24"/>
          <w:lang w:eastAsia="en-GB"/>
        </w:rPr>
        <w:t>-</w:t>
      </w:r>
      <w:r w:rsidRPr="001B4C86">
        <w:rPr>
          <w:rFonts w:ascii="Arial" w:eastAsia="Times New Roman" w:hAnsi="Arial" w:cs="Arial"/>
          <w:sz w:val="24"/>
          <w:szCs w:val="24"/>
          <w:lang w:eastAsia="en-GB"/>
        </w:rPr>
        <w:t xml:space="preserve">1.33, </w:t>
      </w:r>
      <w:bookmarkStart w:id="6" w:name="_Hlk6381561"/>
      <w:r w:rsidRPr="001B4C86">
        <w:rPr>
          <w:rFonts w:ascii="Arial" w:eastAsia="Times New Roman" w:hAnsi="Arial" w:cs="Arial"/>
          <w:sz w:val="24"/>
          <w:szCs w:val="24"/>
          <w:lang w:eastAsia="en-GB"/>
        </w:rPr>
        <w:t>log rank p-value: 0.58</w:t>
      </w:r>
      <w:bookmarkEnd w:id="6"/>
      <w:r w:rsidRPr="001B4C86">
        <w:rPr>
          <w:rFonts w:ascii="Arial" w:eastAsia="Times New Roman" w:hAnsi="Arial" w:cs="Arial"/>
          <w:sz w:val="24"/>
          <w:szCs w:val="24"/>
          <w:lang w:eastAsia="en-GB"/>
        </w:rPr>
        <w:t>) (Supplementary Fig</w:t>
      </w:r>
      <w:r w:rsidR="00955C55" w:rsidRPr="001B4C86">
        <w:rPr>
          <w:rFonts w:ascii="Arial" w:eastAsia="Times New Roman" w:hAnsi="Arial" w:cs="Arial"/>
          <w:sz w:val="24"/>
          <w:szCs w:val="24"/>
          <w:lang w:eastAsia="en-GB"/>
        </w:rPr>
        <w:t>ure</w:t>
      </w:r>
      <w:r w:rsidR="00A3215E">
        <w:rPr>
          <w:rFonts w:ascii="Arial" w:eastAsia="Times New Roman" w:hAnsi="Arial" w:cs="Arial"/>
          <w:sz w:val="24"/>
          <w:szCs w:val="24"/>
          <w:lang w:eastAsia="en-GB"/>
        </w:rPr>
        <w:t xml:space="preserve"> 2</w:t>
      </w:r>
      <w:r w:rsidRPr="001B4C86">
        <w:rPr>
          <w:rFonts w:ascii="Arial" w:eastAsia="Times New Roman" w:hAnsi="Arial" w:cs="Arial"/>
          <w:sz w:val="24"/>
          <w:szCs w:val="24"/>
          <w:lang w:eastAsia="en-GB"/>
        </w:rPr>
        <w:t>)</w:t>
      </w:r>
      <w:r w:rsidR="004A21DB" w:rsidRPr="001B4C86">
        <w:rPr>
          <w:rFonts w:ascii="Arial" w:eastAsia="Times New Roman" w:hAnsi="Arial" w:cs="Arial"/>
          <w:sz w:val="24"/>
          <w:szCs w:val="24"/>
          <w:lang w:eastAsia="en-GB"/>
        </w:rPr>
        <w:t>, though numbers are low</w:t>
      </w:r>
      <w:r w:rsidRPr="001B4C86">
        <w:rPr>
          <w:rFonts w:ascii="Arial" w:eastAsia="Times New Roman" w:hAnsi="Arial" w:cs="Arial"/>
          <w:sz w:val="24"/>
          <w:szCs w:val="24"/>
          <w:lang w:eastAsia="en-GB"/>
        </w:rPr>
        <w:t xml:space="preserve">. </w:t>
      </w:r>
    </w:p>
    <w:p w14:paraId="5AB71695" w14:textId="77777777" w:rsidR="00A1502E" w:rsidRPr="001B4C86" w:rsidRDefault="00A1502E" w:rsidP="001737D9">
      <w:pPr>
        <w:widowControl w:val="0"/>
        <w:autoSpaceDE w:val="0"/>
        <w:autoSpaceDN w:val="0"/>
        <w:adjustRightInd w:val="0"/>
        <w:spacing w:after="0" w:line="480" w:lineRule="auto"/>
        <w:outlineLvl w:val="0"/>
        <w:rPr>
          <w:rFonts w:ascii="Arial" w:hAnsi="Arial" w:cs="Arial"/>
          <w:i/>
          <w:sz w:val="24"/>
          <w:szCs w:val="24"/>
        </w:rPr>
      </w:pPr>
    </w:p>
    <w:p w14:paraId="503D502A" w14:textId="4EC2D2D1" w:rsidR="00DB764F" w:rsidRPr="001B4C86" w:rsidRDefault="006218D1" w:rsidP="001737D9">
      <w:pPr>
        <w:spacing w:line="480" w:lineRule="auto"/>
        <w:rPr>
          <w:rFonts w:ascii="Arial" w:hAnsi="Arial" w:cs="Arial"/>
          <w:b/>
          <w:sz w:val="24"/>
          <w:szCs w:val="24"/>
        </w:rPr>
      </w:pPr>
      <w:r w:rsidRPr="001B4C86">
        <w:rPr>
          <w:rFonts w:ascii="Arial" w:hAnsi="Arial" w:cs="Arial"/>
          <w:b/>
          <w:sz w:val="24"/>
          <w:szCs w:val="24"/>
        </w:rPr>
        <w:t>Discussion</w:t>
      </w:r>
    </w:p>
    <w:p w14:paraId="0787533B" w14:textId="28784997" w:rsidR="004A21DB" w:rsidRDefault="007944E2" w:rsidP="0022531E">
      <w:pPr>
        <w:spacing w:after="0" w:line="480" w:lineRule="auto"/>
        <w:rPr>
          <w:rFonts w:ascii="Arial" w:hAnsi="Arial" w:cs="Arial"/>
          <w:sz w:val="24"/>
          <w:szCs w:val="24"/>
        </w:rPr>
      </w:pPr>
      <w:r w:rsidRPr="001B4C86">
        <w:rPr>
          <w:rFonts w:ascii="Arial" w:hAnsi="Arial" w:cs="Arial"/>
          <w:sz w:val="24"/>
          <w:szCs w:val="24"/>
        </w:rPr>
        <w:t xml:space="preserve">Drug treatment effects observed at 10 weeks were sustained at 12 months, with remarkably low mortality (27.5%) evident in the 1-week AmB+5FC arm. </w:t>
      </w:r>
      <w:r w:rsidR="00955C55" w:rsidRPr="001B4C86">
        <w:rPr>
          <w:rFonts w:ascii="Arial" w:hAnsi="Arial" w:cs="Arial"/>
          <w:sz w:val="24"/>
          <w:szCs w:val="24"/>
        </w:rPr>
        <w:t>This sub-study, with complete follow-up</w:t>
      </w:r>
      <w:r w:rsidR="0038775D" w:rsidRPr="001B4C86">
        <w:rPr>
          <w:rFonts w:ascii="Arial" w:hAnsi="Arial" w:cs="Arial"/>
          <w:sz w:val="24"/>
          <w:szCs w:val="24"/>
        </w:rPr>
        <w:t xml:space="preserve"> of 224 </w:t>
      </w:r>
      <w:r w:rsidR="001D1B54" w:rsidRPr="001B4C86">
        <w:rPr>
          <w:rFonts w:ascii="Arial" w:hAnsi="Arial" w:cs="Arial"/>
          <w:sz w:val="24"/>
          <w:szCs w:val="24"/>
        </w:rPr>
        <w:t>participants</w:t>
      </w:r>
      <w:r w:rsidR="00BF7C5D" w:rsidRPr="001B4C86">
        <w:rPr>
          <w:rFonts w:ascii="Arial" w:hAnsi="Arial" w:cs="Arial"/>
          <w:sz w:val="24"/>
          <w:szCs w:val="24"/>
        </w:rPr>
        <w:t xml:space="preserve"> to </w:t>
      </w:r>
      <w:proofErr w:type="gramStart"/>
      <w:r w:rsidR="00BF7C5D" w:rsidRPr="001B4C86">
        <w:rPr>
          <w:rFonts w:ascii="Arial" w:hAnsi="Arial" w:cs="Arial"/>
          <w:sz w:val="24"/>
          <w:szCs w:val="24"/>
        </w:rPr>
        <w:t>1 year</w:t>
      </w:r>
      <w:proofErr w:type="gramEnd"/>
      <w:r w:rsidR="00BF7C5D" w:rsidRPr="001B4C86">
        <w:rPr>
          <w:rFonts w:ascii="Arial" w:hAnsi="Arial" w:cs="Arial"/>
          <w:sz w:val="24"/>
          <w:szCs w:val="24"/>
        </w:rPr>
        <w:t xml:space="preserve"> post induction therapy</w:t>
      </w:r>
      <w:r w:rsidR="0038775D" w:rsidRPr="001B4C86">
        <w:rPr>
          <w:rFonts w:ascii="Arial" w:hAnsi="Arial" w:cs="Arial"/>
          <w:sz w:val="24"/>
          <w:szCs w:val="24"/>
        </w:rPr>
        <w:t>,</w:t>
      </w:r>
      <w:r w:rsidR="00955C55" w:rsidRPr="001B4C86">
        <w:rPr>
          <w:rFonts w:ascii="Arial" w:hAnsi="Arial" w:cs="Arial"/>
          <w:sz w:val="24"/>
          <w:szCs w:val="24"/>
        </w:rPr>
        <w:t xml:space="preserve"> </w:t>
      </w:r>
      <w:r w:rsidR="009E1072" w:rsidRPr="001B4C86">
        <w:rPr>
          <w:rFonts w:ascii="Arial" w:hAnsi="Arial" w:cs="Arial"/>
          <w:sz w:val="24"/>
          <w:szCs w:val="24"/>
        </w:rPr>
        <w:t>extend</w:t>
      </w:r>
      <w:r w:rsidR="00D5275E" w:rsidRPr="001B4C86">
        <w:rPr>
          <w:rFonts w:ascii="Arial" w:hAnsi="Arial" w:cs="Arial"/>
          <w:sz w:val="24"/>
          <w:szCs w:val="24"/>
        </w:rPr>
        <w:t xml:space="preserve">s </w:t>
      </w:r>
      <w:r w:rsidR="00DE4965" w:rsidRPr="001B4C86">
        <w:rPr>
          <w:rFonts w:ascii="Arial" w:hAnsi="Arial" w:cs="Arial"/>
          <w:sz w:val="24"/>
          <w:szCs w:val="24"/>
        </w:rPr>
        <w:t xml:space="preserve">the results seen </w:t>
      </w:r>
      <w:r w:rsidR="00D5275E" w:rsidRPr="001B4C86">
        <w:rPr>
          <w:rFonts w:ascii="Arial" w:hAnsi="Arial" w:cs="Arial"/>
          <w:sz w:val="24"/>
          <w:szCs w:val="24"/>
        </w:rPr>
        <w:t>at 10 weeks in</w:t>
      </w:r>
      <w:r w:rsidR="00955C55" w:rsidRPr="001B4C86">
        <w:rPr>
          <w:rFonts w:ascii="Arial" w:hAnsi="Arial" w:cs="Arial"/>
          <w:sz w:val="24"/>
          <w:szCs w:val="24"/>
        </w:rPr>
        <w:t xml:space="preserve"> the</w:t>
      </w:r>
      <w:r w:rsidR="00D5275E" w:rsidRPr="001B4C86">
        <w:rPr>
          <w:rFonts w:ascii="Arial" w:hAnsi="Arial" w:cs="Arial"/>
          <w:sz w:val="24"/>
          <w:szCs w:val="24"/>
        </w:rPr>
        <w:t xml:space="preserve"> </w:t>
      </w:r>
      <w:r w:rsidR="00BF7C5D" w:rsidRPr="001B4C86">
        <w:rPr>
          <w:rFonts w:ascii="Arial" w:hAnsi="Arial" w:cs="Arial"/>
          <w:sz w:val="24"/>
          <w:szCs w:val="24"/>
        </w:rPr>
        <w:t xml:space="preserve">ACTA </w:t>
      </w:r>
      <w:r w:rsidR="00955C55" w:rsidRPr="001B4C86">
        <w:rPr>
          <w:rFonts w:ascii="Arial" w:hAnsi="Arial" w:cs="Arial"/>
          <w:sz w:val="24"/>
          <w:szCs w:val="24"/>
        </w:rPr>
        <w:t>trial</w:t>
      </w:r>
      <w:r w:rsidR="00DE4965" w:rsidRPr="001B4C86">
        <w:rPr>
          <w:rFonts w:ascii="Arial" w:hAnsi="Arial" w:cs="Arial"/>
          <w:sz w:val="24"/>
          <w:szCs w:val="24"/>
        </w:rPr>
        <w:t xml:space="preserve"> overall</w:t>
      </w:r>
      <w:r w:rsidR="00D5275E" w:rsidRPr="001B4C86">
        <w:rPr>
          <w:rFonts w:ascii="Arial" w:hAnsi="Arial" w:cs="Arial"/>
          <w:sz w:val="24"/>
          <w:szCs w:val="24"/>
        </w:rPr>
        <w:t>. The long term benefit seen with 1 week AmB+5FC supports updated WHO guidelines recommending this regimen as first</w:t>
      </w:r>
      <w:r w:rsidR="00C15F42" w:rsidRPr="001B4C86">
        <w:rPr>
          <w:rFonts w:ascii="Arial" w:hAnsi="Arial" w:cs="Arial"/>
          <w:sz w:val="24"/>
          <w:szCs w:val="24"/>
        </w:rPr>
        <w:t>-</w:t>
      </w:r>
      <w:r w:rsidR="00D5275E" w:rsidRPr="001B4C86">
        <w:rPr>
          <w:rFonts w:ascii="Arial" w:hAnsi="Arial" w:cs="Arial"/>
          <w:sz w:val="24"/>
          <w:szCs w:val="24"/>
        </w:rPr>
        <w:t>line induction therapy</w:t>
      </w:r>
      <w:r w:rsidR="007C59CA" w:rsidRPr="001B4C86">
        <w:rPr>
          <w:rFonts w:ascii="Arial" w:hAnsi="Arial" w:cs="Arial"/>
          <w:sz w:val="24"/>
          <w:szCs w:val="24"/>
        </w:rPr>
        <w:t xml:space="preserve">, and underlines the need for rapid wide access to 5FC </w:t>
      </w:r>
      <w:r w:rsidR="002338F2" w:rsidRPr="001B4C86">
        <w:rPr>
          <w:rFonts w:ascii="Arial" w:hAnsi="Arial" w:cs="Arial"/>
          <w:sz w:val="24"/>
          <w:szCs w:val="24"/>
        </w:rPr>
        <w:fldChar w:fldCharType="begin"/>
      </w:r>
      <w:r w:rsidR="001A255F" w:rsidRPr="001B4C86">
        <w:rPr>
          <w:rFonts w:ascii="Arial" w:hAnsi="Arial" w:cs="Arial"/>
          <w:sz w:val="24"/>
          <w:szCs w:val="24"/>
        </w:rPr>
        <w:instrText xml:space="preserve"> ADDIN EN.CITE &lt;EndNote&gt;&lt;Cite&gt;&lt;Author&gt;World Health Organization&lt;/Author&gt;&lt;Year&gt;2018&lt;/Year&gt;&lt;RecNum&gt;2964&lt;/RecNum&gt;&lt;DisplayText&gt;[8, 9]&lt;/DisplayText&gt;&lt;record&gt;&lt;rec-number&gt;2964&lt;/rec-number&gt;&lt;foreign-keys&gt;&lt;key app="EN" db-id="0xztvpaec09wawe5ewzvaavo0ardpexrzs2t" timestamp="1554976200"&gt;2964&lt;/key&gt;&lt;/foreign-keys&gt;&lt;ref-type name="Journal Article"&gt;17&lt;/ref-type&gt;&lt;contributors&gt;&lt;authors&gt;&lt;author&gt;World Health Organization,&lt;/author&gt;&lt;/authors&gt;&lt;/contributors&gt;&lt;titles&gt;&lt;title&gt;Guidelines for the diagnosis, prevention and management of cryptococcal disease in HIV-infected adults, adolescents and children&lt;/title&gt;&lt;/titles&gt;&lt;pages&gt;62&lt;/pages&gt;&lt;dates&gt;&lt;year&gt;2018&lt;/year&gt;&lt;pub-dates&gt;&lt;date&gt;20/04/2018&lt;/date&gt;&lt;/pub-dates&gt;&lt;/dates&gt;&lt;urls&gt;&lt;related-urls&gt;&lt;url&gt;http://www.who.int/hiv/pub/guidelines/cryptococcal-disease/en/&lt;/url&gt;&lt;/related-urls&gt;&lt;/urls&gt;&lt;/record&gt;&lt;/Cite&gt;&lt;Cite&gt;&lt;Author&gt;UNITAID&lt;/Author&gt;&lt;Year&gt;2019&lt;/Year&gt;&lt;RecNum&gt;1571&lt;/RecNum&gt;&lt;record&gt;&lt;rec-number&gt;1571&lt;/rec-number&gt;&lt;foreign-keys&gt;&lt;key app="EN" db-id="xdfr20atoada9fe0zdnpesp1z92ze5zv9dd9" timestamp="1548859986"&gt;1571&lt;/key&gt;&lt;/foreign-keys&gt;&lt;ref-type name="Web Page"&gt;12&lt;/ref-type&gt;&lt;contributors&gt;&lt;authors&gt;&lt;author&gt;UNITAID&lt;/author&gt;&lt;/authors&gt;&lt;/contributors&gt;&lt;titles&gt;&lt;title&gt;A plan to slash HIV deaths&lt;/title&gt;&lt;/titles&gt;&lt;number&gt;30/01/2019&lt;/number&gt;&lt;dates&gt;&lt;year&gt;2019&lt;/year&gt;&lt;/dates&gt;&lt;urls&gt;&lt;related-urls&gt;&lt;url&gt;https://unitaid.org/advanced-hiv-disease/#en&lt;/url&gt;&lt;/related-urls&gt;&lt;/urls&gt;&lt;/record&gt;&lt;/Cite&gt;&lt;/EndNote&gt;</w:instrText>
      </w:r>
      <w:r w:rsidR="002338F2" w:rsidRPr="001B4C86">
        <w:rPr>
          <w:rFonts w:ascii="Arial" w:hAnsi="Arial" w:cs="Arial"/>
          <w:sz w:val="24"/>
          <w:szCs w:val="24"/>
        </w:rPr>
        <w:fldChar w:fldCharType="separate"/>
      </w:r>
      <w:r w:rsidR="003058FB" w:rsidRPr="001B4C86">
        <w:rPr>
          <w:rFonts w:ascii="Arial" w:hAnsi="Arial" w:cs="Arial"/>
          <w:noProof/>
          <w:sz w:val="24"/>
          <w:szCs w:val="24"/>
        </w:rPr>
        <w:t>[8, 9]</w:t>
      </w:r>
      <w:r w:rsidR="002338F2" w:rsidRPr="001B4C86">
        <w:rPr>
          <w:rFonts w:ascii="Arial" w:hAnsi="Arial" w:cs="Arial"/>
          <w:sz w:val="24"/>
          <w:szCs w:val="24"/>
        </w:rPr>
        <w:fldChar w:fldCharType="end"/>
      </w:r>
      <w:r w:rsidR="002338F2" w:rsidRPr="001B4C86">
        <w:rPr>
          <w:rFonts w:ascii="Arial" w:hAnsi="Arial" w:cs="Arial"/>
          <w:sz w:val="24"/>
          <w:szCs w:val="24"/>
        </w:rPr>
        <w:t>.</w:t>
      </w:r>
      <w:r w:rsidR="00D5275E" w:rsidRPr="001B4C86">
        <w:rPr>
          <w:rFonts w:ascii="Arial" w:hAnsi="Arial" w:cs="Arial"/>
          <w:sz w:val="24"/>
          <w:szCs w:val="24"/>
        </w:rPr>
        <w:t xml:space="preserve"> </w:t>
      </w:r>
    </w:p>
    <w:p w14:paraId="29ABE998" w14:textId="77777777" w:rsidR="0022531E" w:rsidRPr="001B4C86" w:rsidRDefault="0022531E" w:rsidP="0022531E">
      <w:pPr>
        <w:spacing w:after="0" w:line="480" w:lineRule="auto"/>
        <w:rPr>
          <w:rFonts w:ascii="Arial" w:hAnsi="Arial" w:cs="Arial"/>
          <w:sz w:val="24"/>
          <w:szCs w:val="24"/>
        </w:rPr>
      </w:pPr>
    </w:p>
    <w:p w14:paraId="19FECD87" w14:textId="4DCCED9D" w:rsidR="007C59CA" w:rsidRDefault="00D5275E" w:rsidP="0022531E">
      <w:pPr>
        <w:spacing w:after="0" w:line="480" w:lineRule="auto"/>
        <w:rPr>
          <w:rFonts w:ascii="Arial" w:hAnsi="Arial" w:cs="Arial"/>
          <w:sz w:val="24"/>
          <w:szCs w:val="24"/>
        </w:rPr>
      </w:pPr>
      <w:r w:rsidRPr="001B4C86">
        <w:rPr>
          <w:rFonts w:ascii="Arial" w:hAnsi="Arial" w:cs="Arial"/>
          <w:sz w:val="24"/>
          <w:szCs w:val="24"/>
        </w:rPr>
        <w:t>The results also confirm that</w:t>
      </w:r>
      <w:r w:rsidR="004A680E" w:rsidRPr="001B4C86">
        <w:rPr>
          <w:rFonts w:ascii="Arial" w:hAnsi="Arial" w:cs="Arial"/>
          <w:sz w:val="24"/>
          <w:szCs w:val="24"/>
        </w:rPr>
        <w:t>, after 10 weeks, mortality</w:t>
      </w:r>
      <w:r w:rsidR="00E36746" w:rsidRPr="001B4C86">
        <w:rPr>
          <w:rFonts w:ascii="Arial" w:hAnsi="Arial" w:cs="Arial"/>
          <w:sz w:val="24"/>
          <w:szCs w:val="24"/>
        </w:rPr>
        <w:t xml:space="preserve"> rates decrease</w:t>
      </w:r>
      <w:r w:rsidR="004A680E" w:rsidRPr="001B4C86">
        <w:rPr>
          <w:rFonts w:ascii="Arial" w:hAnsi="Arial" w:cs="Arial"/>
          <w:sz w:val="24"/>
          <w:szCs w:val="24"/>
        </w:rPr>
        <w:t xml:space="preserve">, with a general flattening out of survival curves, in the context of effective anti-fungal therapy and appropriately timed ART (i.e. 4 weeks after </w:t>
      </w:r>
      <w:r w:rsidR="00E36746" w:rsidRPr="001B4C86">
        <w:rPr>
          <w:rFonts w:ascii="Arial" w:hAnsi="Arial" w:cs="Arial"/>
          <w:sz w:val="24"/>
          <w:szCs w:val="24"/>
        </w:rPr>
        <w:t xml:space="preserve">the start of antifungal </w:t>
      </w:r>
      <w:r w:rsidR="004A680E" w:rsidRPr="001B4C86">
        <w:rPr>
          <w:rFonts w:ascii="Arial" w:hAnsi="Arial" w:cs="Arial"/>
          <w:sz w:val="24"/>
          <w:szCs w:val="24"/>
        </w:rPr>
        <w:t>therapy).</w:t>
      </w:r>
      <w:r w:rsidR="00E135CE" w:rsidRPr="001B4C86">
        <w:rPr>
          <w:rFonts w:ascii="Arial" w:hAnsi="Arial" w:cs="Arial"/>
          <w:sz w:val="24"/>
          <w:szCs w:val="24"/>
        </w:rPr>
        <w:t xml:space="preserve"> </w:t>
      </w:r>
      <w:r w:rsidR="001425EE">
        <w:rPr>
          <w:rFonts w:ascii="Arial" w:hAnsi="Arial" w:cs="Arial"/>
          <w:sz w:val="24"/>
          <w:szCs w:val="24"/>
        </w:rPr>
        <w:t>The f</w:t>
      </w:r>
      <w:r w:rsidR="00E135CE" w:rsidRPr="001B4C86">
        <w:rPr>
          <w:rFonts w:ascii="Arial" w:hAnsi="Arial" w:cs="Arial"/>
          <w:sz w:val="24"/>
          <w:szCs w:val="24"/>
        </w:rPr>
        <w:t xml:space="preserve">ew </w:t>
      </w:r>
      <w:proofErr w:type="gramStart"/>
      <w:r w:rsidR="00E135CE" w:rsidRPr="001B4C86">
        <w:rPr>
          <w:rFonts w:ascii="Arial" w:hAnsi="Arial" w:cs="Arial"/>
          <w:sz w:val="24"/>
          <w:szCs w:val="24"/>
        </w:rPr>
        <w:t>long term</w:t>
      </w:r>
      <w:proofErr w:type="gramEnd"/>
      <w:r w:rsidR="00E135CE" w:rsidRPr="001B4C86">
        <w:rPr>
          <w:rFonts w:ascii="Arial" w:hAnsi="Arial" w:cs="Arial"/>
          <w:sz w:val="24"/>
          <w:szCs w:val="24"/>
        </w:rPr>
        <w:t xml:space="preserve"> follow-up data </w:t>
      </w:r>
      <w:r w:rsidR="001425EE">
        <w:rPr>
          <w:rFonts w:ascii="Arial" w:hAnsi="Arial" w:cs="Arial"/>
          <w:sz w:val="24"/>
          <w:szCs w:val="24"/>
        </w:rPr>
        <w:t xml:space="preserve">that </w:t>
      </w:r>
      <w:r w:rsidR="00E135CE" w:rsidRPr="001B4C86">
        <w:rPr>
          <w:rFonts w:ascii="Arial" w:hAnsi="Arial" w:cs="Arial"/>
          <w:sz w:val="24"/>
          <w:szCs w:val="24"/>
        </w:rPr>
        <w:t>are available in the context of timely ART initiation for all patients</w:t>
      </w:r>
      <w:r w:rsidR="001425EE">
        <w:rPr>
          <w:rFonts w:ascii="Arial" w:hAnsi="Arial" w:cs="Arial"/>
          <w:sz w:val="24"/>
          <w:szCs w:val="24"/>
        </w:rPr>
        <w:t xml:space="preserve"> are consistent with our study in this regard</w:t>
      </w:r>
      <w:r w:rsidR="00586059">
        <w:rPr>
          <w:rFonts w:ascii="Arial" w:hAnsi="Arial" w:cs="Arial"/>
          <w:sz w:val="24"/>
          <w:szCs w:val="24"/>
        </w:rPr>
        <w:t xml:space="preserve"> </w:t>
      </w:r>
      <w:r w:rsidR="001A255F" w:rsidRPr="001B4C86">
        <w:rPr>
          <w:rFonts w:ascii="Arial" w:hAnsi="Arial" w:cs="Arial"/>
          <w:sz w:val="24"/>
          <w:szCs w:val="24"/>
        </w:rPr>
        <w:fldChar w:fldCharType="begin">
          <w:fldData xml:space="preserve">PEVuZE5vdGU+PENpdGU+PEF1dGhvcj5QYXNxdWllcjwvQXV0aG9yPjxZZWFyPjIwMTg8L1llYXI+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</w:fldData>
        </w:fldChar>
      </w:r>
      <w:r w:rsidR="00586059">
        <w:rPr>
          <w:rFonts w:ascii="Arial" w:hAnsi="Arial" w:cs="Arial"/>
          <w:sz w:val="24"/>
          <w:szCs w:val="24"/>
        </w:rPr>
        <w:instrText xml:space="preserve"> ADDIN EN.CITE </w:instrText>
      </w:r>
      <w:r w:rsidR="00586059">
        <w:rPr>
          <w:rFonts w:ascii="Arial" w:hAnsi="Arial" w:cs="Arial"/>
          <w:sz w:val="24"/>
          <w:szCs w:val="24"/>
        </w:rPr>
        <w:fldChar w:fldCharType="begin">
          <w:fldData xml:space="preserve">PEVuZE5vdGU+PENpdGU+PEF1dGhvcj5QYXNxdWllcjwvQXV0aG9yPjxZZWFyPjIwMTg8L1llYXI+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</w:fldData>
        </w:fldChar>
      </w:r>
      <w:r w:rsidR="00586059">
        <w:rPr>
          <w:rFonts w:ascii="Arial" w:hAnsi="Arial" w:cs="Arial"/>
          <w:sz w:val="24"/>
          <w:szCs w:val="24"/>
        </w:rPr>
        <w:instrText xml:space="preserve"> ADDIN EN.CITE.DATA </w:instrText>
      </w:r>
      <w:r w:rsidR="00586059">
        <w:rPr>
          <w:rFonts w:ascii="Arial" w:hAnsi="Arial" w:cs="Arial"/>
          <w:sz w:val="24"/>
          <w:szCs w:val="24"/>
        </w:rPr>
      </w:r>
      <w:r w:rsidR="00586059">
        <w:rPr>
          <w:rFonts w:ascii="Arial" w:hAnsi="Arial" w:cs="Arial"/>
          <w:sz w:val="24"/>
          <w:szCs w:val="24"/>
        </w:rPr>
        <w:fldChar w:fldCharType="end"/>
      </w:r>
      <w:r w:rsidR="001A255F" w:rsidRPr="001B4C86">
        <w:rPr>
          <w:rFonts w:ascii="Arial" w:hAnsi="Arial" w:cs="Arial"/>
          <w:sz w:val="24"/>
          <w:szCs w:val="24"/>
        </w:rPr>
      </w:r>
      <w:r w:rsidR="001A255F" w:rsidRPr="001B4C86">
        <w:rPr>
          <w:rFonts w:ascii="Arial" w:hAnsi="Arial" w:cs="Arial"/>
          <w:sz w:val="24"/>
          <w:szCs w:val="24"/>
        </w:rPr>
        <w:fldChar w:fldCharType="separate"/>
      </w:r>
      <w:r w:rsidR="00586059">
        <w:rPr>
          <w:rFonts w:ascii="Arial" w:hAnsi="Arial" w:cs="Arial"/>
          <w:noProof/>
          <w:sz w:val="24"/>
          <w:szCs w:val="24"/>
        </w:rPr>
        <w:t>[10, 11]</w:t>
      </w:r>
      <w:r w:rsidR="001A255F" w:rsidRPr="001B4C86">
        <w:rPr>
          <w:rFonts w:ascii="Arial" w:hAnsi="Arial" w:cs="Arial"/>
          <w:sz w:val="24"/>
          <w:szCs w:val="24"/>
        </w:rPr>
        <w:fldChar w:fldCharType="end"/>
      </w:r>
      <w:r w:rsidR="00586059">
        <w:rPr>
          <w:rFonts w:ascii="Arial" w:hAnsi="Arial" w:cs="Arial"/>
          <w:sz w:val="24"/>
          <w:szCs w:val="24"/>
        </w:rPr>
        <w:t>.</w:t>
      </w:r>
      <w:r w:rsidR="0022531E">
        <w:rPr>
          <w:rFonts w:ascii="Arial" w:hAnsi="Arial" w:cs="Arial"/>
          <w:i/>
          <w:sz w:val="24"/>
          <w:szCs w:val="24"/>
        </w:rPr>
        <w:t xml:space="preserve"> </w:t>
      </w:r>
      <w:r w:rsidR="00DE4965" w:rsidRPr="001B4C86">
        <w:rPr>
          <w:rFonts w:ascii="Arial" w:hAnsi="Arial" w:cs="Arial"/>
          <w:sz w:val="24"/>
          <w:szCs w:val="24"/>
        </w:rPr>
        <w:t xml:space="preserve">The long term </w:t>
      </w:r>
      <w:r w:rsidR="00842900" w:rsidRPr="001B4C86">
        <w:rPr>
          <w:rFonts w:ascii="Arial" w:hAnsi="Arial" w:cs="Arial"/>
          <w:sz w:val="24"/>
          <w:szCs w:val="24"/>
        </w:rPr>
        <w:lastRenderedPageBreak/>
        <w:t xml:space="preserve">mortality </w:t>
      </w:r>
      <w:r w:rsidR="00DE4965" w:rsidRPr="001B4C86">
        <w:rPr>
          <w:rFonts w:ascii="Arial" w:hAnsi="Arial" w:cs="Arial"/>
          <w:sz w:val="24"/>
          <w:szCs w:val="24"/>
        </w:rPr>
        <w:t xml:space="preserve">curves in all the regimens tested here contrast with studies </w:t>
      </w:r>
      <w:r w:rsidR="00033420" w:rsidRPr="001B4C86">
        <w:rPr>
          <w:rFonts w:ascii="Arial" w:hAnsi="Arial" w:cs="Arial"/>
          <w:sz w:val="24"/>
          <w:szCs w:val="24"/>
        </w:rPr>
        <w:t>using</w:t>
      </w:r>
      <w:r w:rsidR="00DE4965" w:rsidRPr="001B4C86">
        <w:rPr>
          <w:rFonts w:ascii="Arial" w:hAnsi="Arial" w:cs="Arial"/>
          <w:sz w:val="24"/>
          <w:szCs w:val="24"/>
        </w:rPr>
        <w:t xml:space="preserve"> fluconazole monotherapy, </w:t>
      </w:r>
      <w:r w:rsidR="00033420" w:rsidRPr="001B4C86">
        <w:rPr>
          <w:rFonts w:ascii="Arial" w:hAnsi="Arial" w:cs="Arial"/>
          <w:sz w:val="24"/>
          <w:szCs w:val="24"/>
        </w:rPr>
        <w:t xml:space="preserve">in </w:t>
      </w:r>
      <w:r w:rsidR="00DE4965" w:rsidRPr="001B4C86">
        <w:rPr>
          <w:rFonts w:ascii="Arial" w:hAnsi="Arial" w:cs="Arial"/>
          <w:sz w:val="24"/>
          <w:szCs w:val="24"/>
        </w:rPr>
        <w:t>which progressive</w:t>
      </w:r>
      <w:r w:rsidR="00CB5F27" w:rsidRPr="001B4C86">
        <w:rPr>
          <w:rFonts w:ascii="Arial" w:hAnsi="Arial" w:cs="Arial"/>
          <w:sz w:val="24"/>
          <w:szCs w:val="24"/>
        </w:rPr>
        <w:t>ly increasing</w:t>
      </w:r>
      <w:r w:rsidR="00DE4965" w:rsidRPr="001B4C86">
        <w:rPr>
          <w:rFonts w:ascii="Arial" w:hAnsi="Arial" w:cs="Arial"/>
          <w:sz w:val="24"/>
          <w:szCs w:val="24"/>
        </w:rPr>
        <w:t xml:space="preserve"> mortality result</w:t>
      </w:r>
      <w:r w:rsidR="00033420" w:rsidRPr="001B4C86">
        <w:rPr>
          <w:rFonts w:ascii="Arial" w:hAnsi="Arial" w:cs="Arial"/>
          <w:sz w:val="24"/>
          <w:szCs w:val="24"/>
        </w:rPr>
        <w:t>ed</w:t>
      </w:r>
      <w:r w:rsidR="00DE4965" w:rsidRPr="001B4C86">
        <w:rPr>
          <w:rFonts w:ascii="Arial" w:hAnsi="Arial" w:cs="Arial"/>
          <w:sz w:val="24"/>
          <w:szCs w:val="24"/>
        </w:rPr>
        <w:t xml:space="preserve"> in </w:t>
      </w:r>
      <w:r w:rsidR="00842900" w:rsidRPr="001B4C86">
        <w:rPr>
          <w:rFonts w:ascii="Arial" w:hAnsi="Arial" w:cs="Arial"/>
          <w:sz w:val="24"/>
          <w:szCs w:val="24"/>
        </w:rPr>
        <w:t xml:space="preserve">mortality </w:t>
      </w:r>
      <w:r w:rsidR="00DE4965" w:rsidRPr="001B4C86">
        <w:rPr>
          <w:rFonts w:ascii="Arial" w:hAnsi="Arial" w:cs="Arial"/>
          <w:sz w:val="24"/>
          <w:szCs w:val="24"/>
        </w:rPr>
        <w:t xml:space="preserve">at 12 months of </w:t>
      </w:r>
      <w:r w:rsidR="00842900" w:rsidRPr="001B4C86">
        <w:rPr>
          <w:rFonts w:ascii="Arial" w:hAnsi="Arial" w:cs="Arial"/>
          <w:sz w:val="24"/>
          <w:szCs w:val="24"/>
        </w:rPr>
        <w:t>over 75%</w:t>
      </w:r>
      <w:r w:rsidR="00DE4965" w:rsidRPr="001B4C86">
        <w:rPr>
          <w:rFonts w:ascii="Arial" w:hAnsi="Arial" w:cs="Arial"/>
          <w:sz w:val="24"/>
          <w:szCs w:val="24"/>
        </w:rPr>
        <w:t xml:space="preserve"> </w:t>
      </w:r>
      <w:r w:rsidR="00215AF8" w:rsidRPr="001B4C86">
        <w:rPr>
          <w:rFonts w:ascii="Arial" w:hAnsi="Arial" w:cs="Arial"/>
          <w:sz w:val="24"/>
          <w:szCs w:val="24"/>
        </w:rPr>
        <w:fldChar w:fldCharType="begin">
          <w:fldData xml:space="preserve">PEVuZE5vdGU+PENpdGU+PEF1dGhvcj5Sb3RoZTwvQXV0aG9yPjxZZWFyPjIwMTM8L1llYXI+PFJl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</w:fldData>
        </w:fldChar>
      </w:r>
      <w:r w:rsidR="001A255F" w:rsidRPr="001B4C86">
        <w:rPr>
          <w:rFonts w:ascii="Arial" w:hAnsi="Arial" w:cs="Arial"/>
          <w:sz w:val="24"/>
          <w:szCs w:val="24"/>
        </w:rPr>
        <w:instrText xml:space="preserve"> ADDIN EN.CITE </w:instrText>
      </w:r>
      <w:r w:rsidR="001A255F" w:rsidRPr="001B4C86">
        <w:rPr>
          <w:rFonts w:ascii="Arial" w:hAnsi="Arial" w:cs="Arial"/>
          <w:sz w:val="24"/>
          <w:szCs w:val="24"/>
        </w:rPr>
        <w:fldChar w:fldCharType="begin">
          <w:fldData xml:space="preserve">PEVuZE5vdGU+PENpdGU+PEF1dGhvcj5Sb3RoZTwvQXV0aG9yPjxZZWFyPjIwMTM8L1llYXI+PFJl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</w:fldData>
        </w:fldChar>
      </w:r>
      <w:r w:rsidR="001A255F" w:rsidRPr="001B4C86">
        <w:rPr>
          <w:rFonts w:ascii="Arial" w:hAnsi="Arial" w:cs="Arial"/>
          <w:sz w:val="24"/>
          <w:szCs w:val="24"/>
        </w:rPr>
        <w:instrText xml:space="preserve"> ADDIN EN.CITE.DATA </w:instrText>
      </w:r>
      <w:r w:rsidR="001A255F" w:rsidRPr="001B4C86">
        <w:rPr>
          <w:rFonts w:ascii="Arial" w:hAnsi="Arial" w:cs="Arial"/>
          <w:sz w:val="24"/>
          <w:szCs w:val="24"/>
        </w:rPr>
      </w:r>
      <w:r w:rsidR="001A255F" w:rsidRPr="001B4C86">
        <w:rPr>
          <w:rFonts w:ascii="Arial" w:hAnsi="Arial" w:cs="Arial"/>
          <w:sz w:val="24"/>
          <w:szCs w:val="24"/>
        </w:rPr>
        <w:fldChar w:fldCharType="end"/>
      </w:r>
      <w:r w:rsidR="00215AF8" w:rsidRPr="001B4C86">
        <w:rPr>
          <w:rFonts w:ascii="Arial" w:hAnsi="Arial" w:cs="Arial"/>
          <w:sz w:val="24"/>
          <w:szCs w:val="24"/>
        </w:rPr>
      </w:r>
      <w:r w:rsidR="00215AF8" w:rsidRPr="001B4C86">
        <w:rPr>
          <w:rFonts w:ascii="Arial" w:hAnsi="Arial" w:cs="Arial"/>
          <w:sz w:val="24"/>
          <w:szCs w:val="24"/>
        </w:rPr>
        <w:fldChar w:fldCharType="separate"/>
      </w:r>
      <w:r w:rsidR="003058FB" w:rsidRPr="001B4C86">
        <w:rPr>
          <w:rFonts w:ascii="Arial" w:hAnsi="Arial" w:cs="Arial"/>
          <w:noProof/>
          <w:sz w:val="24"/>
          <w:szCs w:val="24"/>
        </w:rPr>
        <w:t>[4]</w:t>
      </w:r>
      <w:r w:rsidR="00215AF8" w:rsidRPr="001B4C86">
        <w:rPr>
          <w:rFonts w:ascii="Arial" w:hAnsi="Arial" w:cs="Arial"/>
          <w:sz w:val="24"/>
          <w:szCs w:val="24"/>
        </w:rPr>
        <w:fldChar w:fldCharType="end"/>
      </w:r>
      <w:r w:rsidR="007C59CA" w:rsidRPr="001B4C86">
        <w:rPr>
          <w:rFonts w:ascii="Arial" w:hAnsi="Arial" w:cs="Arial"/>
          <w:sz w:val="24"/>
          <w:szCs w:val="24"/>
        </w:rPr>
        <w:t>, further emphasising the benefit of currently recommended regimens over fluconazole</w:t>
      </w:r>
      <w:r w:rsidR="00033420" w:rsidRPr="001B4C86">
        <w:rPr>
          <w:rFonts w:ascii="Arial" w:hAnsi="Arial" w:cs="Arial"/>
          <w:sz w:val="24"/>
          <w:szCs w:val="24"/>
        </w:rPr>
        <w:t xml:space="preserve"> monotherapy</w:t>
      </w:r>
      <w:r w:rsidR="00DE4965" w:rsidRPr="001B4C86">
        <w:rPr>
          <w:rFonts w:ascii="Arial" w:hAnsi="Arial" w:cs="Arial"/>
          <w:sz w:val="24"/>
          <w:szCs w:val="24"/>
        </w:rPr>
        <w:t>.</w:t>
      </w:r>
      <w:r w:rsidR="00D97562" w:rsidRPr="001B4C86">
        <w:rPr>
          <w:rFonts w:ascii="Arial" w:hAnsi="Arial" w:cs="Arial"/>
          <w:sz w:val="24"/>
          <w:szCs w:val="24"/>
        </w:rPr>
        <w:t xml:space="preserve"> </w:t>
      </w:r>
      <w:r w:rsidR="00F34EB4" w:rsidRPr="001B4C86">
        <w:rPr>
          <w:rFonts w:ascii="Arial" w:hAnsi="Arial" w:cs="Arial"/>
          <w:sz w:val="24"/>
          <w:szCs w:val="24"/>
        </w:rPr>
        <w:t xml:space="preserve">Given the relatively low mortality between 10 weeks and 1 year, our results </w:t>
      </w:r>
      <w:r w:rsidR="00C571DE">
        <w:rPr>
          <w:rFonts w:ascii="Arial" w:hAnsi="Arial" w:cs="Arial"/>
          <w:sz w:val="24"/>
          <w:szCs w:val="24"/>
        </w:rPr>
        <w:t xml:space="preserve">also </w:t>
      </w:r>
      <w:r w:rsidR="00F34EB4" w:rsidRPr="001B4C86">
        <w:rPr>
          <w:rFonts w:ascii="Arial" w:hAnsi="Arial" w:cs="Arial"/>
          <w:sz w:val="24"/>
          <w:szCs w:val="24"/>
        </w:rPr>
        <w:t xml:space="preserve">suggest that </w:t>
      </w:r>
      <w:r w:rsidR="007C59CA" w:rsidRPr="001B4C86">
        <w:rPr>
          <w:rFonts w:ascii="Arial" w:hAnsi="Arial" w:cs="Arial"/>
          <w:sz w:val="24"/>
          <w:szCs w:val="24"/>
        </w:rPr>
        <w:t>life threatening CM-IRIS reactions are uncommon or can usually be managed</w:t>
      </w:r>
      <w:r w:rsidR="0008589F" w:rsidRPr="001B4C86">
        <w:rPr>
          <w:rFonts w:ascii="Arial" w:hAnsi="Arial" w:cs="Arial"/>
          <w:sz w:val="24"/>
          <w:szCs w:val="24"/>
        </w:rPr>
        <w:t xml:space="preserve">, </w:t>
      </w:r>
      <w:r w:rsidR="007C59CA" w:rsidRPr="001B4C86">
        <w:rPr>
          <w:rFonts w:ascii="Arial" w:hAnsi="Arial" w:cs="Arial"/>
          <w:sz w:val="24"/>
          <w:szCs w:val="24"/>
        </w:rPr>
        <w:t>with awareness and appr</w:t>
      </w:r>
      <w:r w:rsidR="001053A0" w:rsidRPr="001B4C86">
        <w:rPr>
          <w:rFonts w:ascii="Arial" w:hAnsi="Arial" w:cs="Arial"/>
          <w:sz w:val="24"/>
          <w:szCs w:val="24"/>
        </w:rPr>
        <w:t>opriate investigation and treat</w:t>
      </w:r>
      <w:r w:rsidR="007C59CA" w:rsidRPr="001B4C86">
        <w:rPr>
          <w:rFonts w:ascii="Arial" w:hAnsi="Arial" w:cs="Arial"/>
          <w:sz w:val="24"/>
          <w:szCs w:val="24"/>
        </w:rPr>
        <w:t>ment</w:t>
      </w:r>
      <w:r w:rsidR="00797065" w:rsidRPr="001B4C86">
        <w:rPr>
          <w:rFonts w:ascii="Arial" w:hAnsi="Arial" w:cs="Arial"/>
          <w:sz w:val="24"/>
          <w:szCs w:val="24"/>
        </w:rPr>
        <w:t xml:space="preserve"> </w:t>
      </w:r>
      <w:r w:rsidR="00797065" w:rsidRPr="001B4C86">
        <w:rPr>
          <w:rFonts w:ascii="Arial" w:hAnsi="Arial" w:cs="Arial"/>
          <w:sz w:val="24"/>
          <w:szCs w:val="24"/>
        </w:rPr>
        <w:fldChar w:fldCharType="begin">
          <w:fldData xml:space="preserve">PEVuZE5vdGU+PENpdGU+PEF1dGhvcj5Mb25nbGV5PC9BdXRob3I+PFllYXI+MjAxMzwvWWVhcj48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</w:fldData>
        </w:fldChar>
      </w:r>
      <w:r w:rsidR="00586059">
        <w:rPr>
          <w:rFonts w:ascii="Arial" w:hAnsi="Arial" w:cs="Arial"/>
          <w:sz w:val="24"/>
          <w:szCs w:val="24"/>
        </w:rPr>
        <w:instrText xml:space="preserve"> ADDIN EN.CITE </w:instrText>
      </w:r>
      <w:r w:rsidR="00586059">
        <w:rPr>
          <w:rFonts w:ascii="Arial" w:hAnsi="Arial" w:cs="Arial"/>
          <w:sz w:val="24"/>
          <w:szCs w:val="24"/>
        </w:rPr>
        <w:fldChar w:fldCharType="begin">
          <w:fldData xml:space="preserve">PEVuZE5vdGU+PENpdGU+PEF1dGhvcj5Mb25nbGV5PC9BdXRob3I+PFllYXI+MjAxMzwvWWVhcj48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</w:fldData>
        </w:fldChar>
      </w:r>
      <w:r w:rsidR="00586059">
        <w:rPr>
          <w:rFonts w:ascii="Arial" w:hAnsi="Arial" w:cs="Arial"/>
          <w:sz w:val="24"/>
          <w:szCs w:val="24"/>
        </w:rPr>
        <w:instrText xml:space="preserve"> ADDIN EN.CITE.DATA </w:instrText>
      </w:r>
      <w:r w:rsidR="00586059">
        <w:rPr>
          <w:rFonts w:ascii="Arial" w:hAnsi="Arial" w:cs="Arial"/>
          <w:sz w:val="24"/>
          <w:szCs w:val="24"/>
        </w:rPr>
      </w:r>
      <w:r w:rsidR="00586059">
        <w:rPr>
          <w:rFonts w:ascii="Arial" w:hAnsi="Arial" w:cs="Arial"/>
          <w:sz w:val="24"/>
          <w:szCs w:val="24"/>
        </w:rPr>
        <w:fldChar w:fldCharType="end"/>
      </w:r>
      <w:r w:rsidR="00797065" w:rsidRPr="001B4C86">
        <w:rPr>
          <w:rFonts w:ascii="Arial" w:hAnsi="Arial" w:cs="Arial"/>
          <w:sz w:val="24"/>
          <w:szCs w:val="24"/>
        </w:rPr>
      </w:r>
      <w:r w:rsidR="00797065" w:rsidRPr="001B4C86">
        <w:rPr>
          <w:rFonts w:ascii="Arial" w:hAnsi="Arial" w:cs="Arial"/>
          <w:sz w:val="24"/>
          <w:szCs w:val="24"/>
        </w:rPr>
        <w:fldChar w:fldCharType="separate"/>
      </w:r>
      <w:r w:rsidR="00586059">
        <w:rPr>
          <w:rFonts w:ascii="Arial" w:hAnsi="Arial" w:cs="Arial"/>
          <w:noProof/>
          <w:sz w:val="24"/>
          <w:szCs w:val="24"/>
        </w:rPr>
        <w:t>[12]</w:t>
      </w:r>
      <w:r w:rsidR="00797065" w:rsidRPr="001B4C86">
        <w:rPr>
          <w:rFonts w:ascii="Arial" w:hAnsi="Arial" w:cs="Arial"/>
          <w:sz w:val="24"/>
          <w:szCs w:val="24"/>
        </w:rPr>
        <w:fldChar w:fldCharType="end"/>
      </w:r>
      <w:r w:rsidR="00797065" w:rsidRPr="001B4C86">
        <w:rPr>
          <w:rFonts w:ascii="Arial" w:hAnsi="Arial" w:cs="Arial"/>
          <w:sz w:val="24"/>
          <w:szCs w:val="24"/>
        </w:rPr>
        <w:t>.</w:t>
      </w:r>
      <w:r w:rsidR="00361754" w:rsidRPr="001B4C86">
        <w:rPr>
          <w:rFonts w:ascii="Arial" w:hAnsi="Arial" w:cs="Arial"/>
          <w:sz w:val="24"/>
          <w:szCs w:val="24"/>
        </w:rPr>
        <w:t xml:space="preserve"> </w:t>
      </w:r>
    </w:p>
    <w:p w14:paraId="49C47275" w14:textId="77777777" w:rsidR="0022531E" w:rsidRPr="0022531E" w:rsidRDefault="0022531E" w:rsidP="0022531E">
      <w:pPr>
        <w:spacing w:after="0" w:line="480" w:lineRule="auto"/>
        <w:rPr>
          <w:rFonts w:ascii="Arial" w:hAnsi="Arial" w:cs="Arial"/>
          <w:i/>
          <w:sz w:val="24"/>
          <w:szCs w:val="24"/>
        </w:rPr>
      </w:pPr>
    </w:p>
    <w:p w14:paraId="06A4C498" w14:textId="4E443ECE" w:rsidR="001E563C" w:rsidRPr="001B4C86" w:rsidRDefault="0038775D" w:rsidP="0022531E">
      <w:pPr>
        <w:spacing w:line="480" w:lineRule="auto"/>
        <w:rPr>
          <w:rFonts w:ascii="Arial" w:hAnsi="Arial" w:cs="Arial"/>
          <w:sz w:val="24"/>
          <w:szCs w:val="24"/>
        </w:rPr>
        <w:sectPr w:rsidR="001E563C" w:rsidRPr="001B4C86" w:rsidSect="00035F8C">
          <w:footerReference w:type="even" r:id="rId9"/>
          <w:footerReference w:type="default" r:id="rId10"/>
          <w:pgSz w:w="11900" w:h="16820"/>
          <w:pgMar w:top="1440" w:right="1440" w:bottom="1440" w:left="1440" w:header="708" w:footer="708" w:gutter="0"/>
          <w:cols w:space="708"/>
          <w:docGrid w:linePitch="360"/>
        </w:sectPr>
      </w:pPr>
      <w:r w:rsidRPr="001B4C86">
        <w:rPr>
          <w:rFonts w:ascii="Arial" w:hAnsi="Arial" w:cs="Arial"/>
          <w:sz w:val="24"/>
          <w:szCs w:val="24"/>
        </w:rPr>
        <w:t xml:space="preserve">No differences </w:t>
      </w:r>
      <w:r w:rsidR="001053A0" w:rsidRPr="001B4C86">
        <w:rPr>
          <w:rFonts w:ascii="Arial" w:hAnsi="Arial" w:cs="Arial"/>
          <w:sz w:val="24"/>
          <w:szCs w:val="24"/>
        </w:rPr>
        <w:t xml:space="preserve">in long term survival </w:t>
      </w:r>
      <w:r w:rsidRPr="001B4C86">
        <w:rPr>
          <w:rFonts w:ascii="Arial" w:hAnsi="Arial" w:cs="Arial"/>
          <w:sz w:val="24"/>
          <w:szCs w:val="24"/>
        </w:rPr>
        <w:t xml:space="preserve">were detected between </w:t>
      </w:r>
      <w:r w:rsidR="001D1B54" w:rsidRPr="001B4C86">
        <w:rPr>
          <w:rFonts w:ascii="Arial" w:hAnsi="Arial" w:cs="Arial"/>
          <w:sz w:val="24"/>
          <w:szCs w:val="24"/>
        </w:rPr>
        <w:t>participants</w:t>
      </w:r>
      <w:r w:rsidRPr="001B4C86">
        <w:rPr>
          <w:rFonts w:ascii="Arial" w:hAnsi="Arial" w:cs="Arial"/>
          <w:sz w:val="24"/>
          <w:szCs w:val="24"/>
        </w:rPr>
        <w:t xml:space="preserve"> previously exposed to ART and </w:t>
      </w:r>
      <w:r w:rsidR="00BF7C5D" w:rsidRPr="001B4C86">
        <w:rPr>
          <w:rFonts w:ascii="Arial" w:hAnsi="Arial" w:cs="Arial"/>
          <w:sz w:val="24"/>
          <w:szCs w:val="24"/>
        </w:rPr>
        <w:t xml:space="preserve">ART </w:t>
      </w:r>
      <w:r w:rsidRPr="001B4C86">
        <w:rPr>
          <w:rFonts w:ascii="Arial" w:hAnsi="Arial" w:cs="Arial"/>
          <w:sz w:val="24"/>
          <w:szCs w:val="24"/>
        </w:rPr>
        <w:t xml:space="preserve">unexposed </w:t>
      </w:r>
      <w:r w:rsidR="001D1B54" w:rsidRPr="001B4C86">
        <w:rPr>
          <w:rFonts w:ascii="Arial" w:hAnsi="Arial" w:cs="Arial"/>
          <w:sz w:val="24"/>
          <w:szCs w:val="24"/>
        </w:rPr>
        <w:t>participants</w:t>
      </w:r>
      <w:r w:rsidRPr="001B4C86">
        <w:rPr>
          <w:rFonts w:ascii="Arial" w:hAnsi="Arial" w:cs="Arial"/>
          <w:sz w:val="24"/>
          <w:szCs w:val="24"/>
        </w:rPr>
        <w:t xml:space="preserve">. </w:t>
      </w:r>
      <w:r w:rsidR="00052BE4" w:rsidRPr="001B4C86">
        <w:rPr>
          <w:rFonts w:ascii="Arial" w:hAnsi="Arial" w:cs="Arial"/>
          <w:sz w:val="24"/>
          <w:szCs w:val="24"/>
        </w:rPr>
        <w:t xml:space="preserve">Further work is needed to separate out, within the ART exposed group, those with unmasking CM-IRIS and those who have failed ART due to adherence or resistance issues. </w:t>
      </w:r>
      <w:r w:rsidR="001053A0" w:rsidRPr="001B4C86">
        <w:rPr>
          <w:rFonts w:ascii="Arial" w:hAnsi="Arial" w:cs="Arial"/>
          <w:sz w:val="24"/>
          <w:szCs w:val="24"/>
        </w:rPr>
        <w:t>Our results underline</w:t>
      </w:r>
      <w:r w:rsidR="002F19C0">
        <w:rPr>
          <w:rFonts w:ascii="Arial" w:hAnsi="Arial" w:cs="Arial"/>
          <w:sz w:val="24"/>
          <w:szCs w:val="24"/>
        </w:rPr>
        <w:t xml:space="preserve"> </w:t>
      </w:r>
      <w:r w:rsidR="0008589F" w:rsidRPr="001B4C86">
        <w:rPr>
          <w:rFonts w:ascii="Arial" w:hAnsi="Arial" w:cs="Arial"/>
          <w:sz w:val="24"/>
          <w:szCs w:val="24"/>
        </w:rPr>
        <w:t xml:space="preserve">that </w:t>
      </w:r>
      <w:r w:rsidR="008E3F3B">
        <w:rPr>
          <w:rFonts w:ascii="Arial" w:hAnsi="Arial" w:cs="Arial"/>
          <w:sz w:val="24"/>
          <w:szCs w:val="24"/>
        </w:rPr>
        <w:t xml:space="preserve">all </w:t>
      </w:r>
      <w:r w:rsidR="0008589F" w:rsidRPr="001B4C86">
        <w:rPr>
          <w:rFonts w:ascii="Arial" w:hAnsi="Arial" w:cs="Arial"/>
          <w:sz w:val="24"/>
          <w:szCs w:val="24"/>
        </w:rPr>
        <w:t>these</w:t>
      </w:r>
      <w:r w:rsidR="002F19C0">
        <w:rPr>
          <w:rFonts w:ascii="Arial" w:hAnsi="Arial" w:cs="Arial"/>
          <w:sz w:val="24"/>
          <w:szCs w:val="24"/>
        </w:rPr>
        <w:t xml:space="preserve"> </w:t>
      </w:r>
      <w:r w:rsidR="0008589F" w:rsidRPr="001B4C86">
        <w:rPr>
          <w:rFonts w:ascii="Arial" w:hAnsi="Arial" w:cs="Arial"/>
          <w:sz w:val="24"/>
          <w:szCs w:val="24"/>
        </w:rPr>
        <w:t>patie</w:t>
      </w:r>
      <w:r w:rsidR="001053A0" w:rsidRPr="001B4C86">
        <w:rPr>
          <w:rFonts w:ascii="Arial" w:hAnsi="Arial" w:cs="Arial"/>
          <w:sz w:val="24"/>
          <w:szCs w:val="24"/>
        </w:rPr>
        <w:t xml:space="preserve">nts </w:t>
      </w:r>
      <w:r w:rsidR="005806DE" w:rsidRPr="001B4C86">
        <w:rPr>
          <w:rFonts w:ascii="Arial" w:hAnsi="Arial" w:cs="Arial"/>
          <w:sz w:val="24"/>
          <w:szCs w:val="24"/>
        </w:rPr>
        <w:t>can</w:t>
      </w:r>
      <w:r w:rsidR="001053A0" w:rsidRPr="001B4C86">
        <w:rPr>
          <w:rFonts w:ascii="Arial" w:hAnsi="Arial" w:cs="Arial"/>
          <w:sz w:val="24"/>
          <w:szCs w:val="24"/>
        </w:rPr>
        <w:t xml:space="preserve"> have a</w:t>
      </w:r>
      <w:r w:rsidR="005806DE" w:rsidRPr="001B4C86">
        <w:rPr>
          <w:rFonts w:ascii="Arial" w:hAnsi="Arial" w:cs="Arial"/>
          <w:sz w:val="24"/>
          <w:szCs w:val="24"/>
        </w:rPr>
        <w:t xml:space="preserve"> good</w:t>
      </w:r>
      <w:r w:rsidR="001053A0" w:rsidRPr="001B4C86">
        <w:rPr>
          <w:rFonts w:ascii="Arial" w:hAnsi="Arial" w:cs="Arial"/>
          <w:sz w:val="24"/>
          <w:szCs w:val="24"/>
        </w:rPr>
        <w:t xml:space="preserve"> </w:t>
      </w:r>
      <w:proofErr w:type="gramStart"/>
      <w:r w:rsidR="001053A0" w:rsidRPr="001B4C86">
        <w:rPr>
          <w:rFonts w:ascii="Arial" w:hAnsi="Arial" w:cs="Arial"/>
          <w:sz w:val="24"/>
          <w:szCs w:val="24"/>
        </w:rPr>
        <w:t>long term</w:t>
      </w:r>
      <w:proofErr w:type="gramEnd"/>
      <w:r w:rsidR="001053A0" w:rsidRPr="001B4C86">
        <w:rPr>
          <w:rFonts w:ascii="Arial" w:hAnsi="Arial" w:cs="Arial"/>
          <w:sz w:val="24"/>
          <w:szCs w:val="24"/>
        </w:rPr>
        <w:t xml:space="preserve"> prognosis if they survive meningitis. Thus</w:t>
      </w:r>
      <w:r w:rsidR="0008589F" w:rsidRPr="001B4C86">
        <w:rPr>
          <w:rFonts w:ascii="Arial" w:hAnsi="Arial" w:cs="Arial"/>
          <w:sz w:val="24"/>
          <w:szCs w:val="24"/>
        </w:rPr>
        <w:t>,</w:t>
      </w:r>
      <w:r w:rsidR="001053A0" w:rsidRPr="001B4C86">
        <w:rPr>
          <w:rFonts w:ascii="Arial" w:hAnsi="Arial" w:cs="Arial"/>
          <w:sz w:val="24"/>
          <w:szCs w:val="24"/>
        </w:rPr>
        <w:t xml:space="preserve"> continued efforts are need</w:t>
      </w:r>
      <w:r w:rsidR="001C6432" w:rsidRPr="001B4C86">
        <w:rPr>
          <w:rFonts w:ascii="Arial" w:hAnsi="Arial" w:cs="Arial"/>
          <w:sz w:val="24"/>
          <w:szCs w:val="24"/>
        </w:rPr>
        <w:t>ed</w:t>
      </w:r>
      <w:r w:rsidR="001053A0" w:rsidRPr="001B4C86">
        <w:rPr>
          <w:rFonts w:ascii="Arial" w:hAnsi="Arial" w:cs="Arial"/>
          <w:sz w:val="24"/>
          <w:szCs w:val="24"/>
        </w:rPr>
        <w:t xml:space="preserve"> to target and support patients with </w:t>
      </w:r>
      <w:r w:rsidR="00C15F42" w:rsidRPr="001B4C86">
        <w:rPr>
          <w:rFonts w:ascii="Arial" w:hAnsi="Arial" w:cs="Arial"/>
          <w:sz w:val="24"/>
          <w:szCs w:val="24"/>
        </w:rPr>
        <w:t>advanced</w:t>
      </w:r>
      <w:r w:rsidR="001053A0" w:rsidRPr="001B4C86">
        <w:rPr>
          <w:rFonts w:ascii="Arial" w:hAnsi="Arial" w:cs="Arial"/>
          <w:sz w:val="24"/>
          <w:szCs w:val="24"/>
        </w:rPr>
        <w:t xml:space="preserve"> HIV </w:t>
      </w:r>
      <w:r w:rsidR="00C15F42" w:rsidRPr="001B4C86">
        <w:rPr>
          <w:rFonts w:ascii="Arial" w:hAnsi="Arial" w:cs="Arial"/>
          <w:sz w:val="24"/>
          <w:szCs w:val="24"/>
        </w:rPr>
        <w:t>disease</w:t>
      </w:r>
      <w:r w:rsidR="001053A0" w:rsidRPr="001B4C86">
        <w:rPr>
          <w:rFonts w:ascii="Arial" w:hAnsi="Arial" w:cs="Arial"/>
          <w:sz w:val="24"/>
          <w:szCs w:val="24"/>
        </w:rPr>
        <w:t>, as recently emphasised by WHO and others</w:t>
      </w:r>
      <w:r w:rsidR="00215AF8" w:rsidRPr="001B4C86">
        <w:rPr>
          <w:rFonts w:ascii="Arial" w:hAnsi="Arial" w:cs="Arial"/>
          <w:sz w:val="24"/>
          <w:szCs w:val="24"/>
        </w:rPr>
        <w:t xml:space="preserve"> </w:t>
      </w:r>
      <w:r w:rsidR="00215AF8" w:rsidRPr="001B4C86">
        <w:rPr>
          <w:rFonts w:ascii="Arial" w:hAnsi="Arial" w:cs="Arial"/>
          <w:sz w:val="24"/>
          <w:szCs w:val="24"/>
        </w:rPr>
        <w:fldChar w:fldCharType="begin"/>
      </w:r>
      <w:r w:rsidR="001A255F" w:rsidRPr="001B4C86">
        <w:rPr>
          <w:rFonts w:ascii="Arial" w:hAnsi="Arial" w:cs="Arial"/>
          <w:sz w:val="24"/>
          <w:szCs w:val="24"/>
        </w:rPr>
        <w:instrText xml:space="preserve"> ADDIN EN.CITE &lt;EndNote&gt;&lt;Cite&gt;&lt;Author&gt;World Health Organization&lt;/Author&gt;&lt;Year&gt;2018&lt;/Year&gt;&lt;RecNum&gt;2964&lt;/RecNum&gt;&lt;DisplayText&gt;[8, 9]&lt;/DisplayText&gt;&lt;record&gt;&lt;rec-number&gt;2964&lt;/rec-number&gt;&lt;foreign-keys&gt;&lt;key app="EN" db-id="0xztvpaec09wawe5ewzvaavo0ardpexrzs2t" timestamp="1554976200"&gt;2964&lt;/key&gt;&lt;/foreign-keys&gt;&lt;ref-type name="Journal Article"&gt;17&lt;/ref-type&gt;&lt;contributors&gt;&lt;authors&gt;&lt;author&gt;World Health Organization,&lt;/author&gt;&lt;/authors&gt;&lt;/contributors&gt;&lt;titles&gt;&lt;title&gt;Guidelines for the diagnosis, prevention and management of cryptococcal disease in HIV-infected adults, adolescents and children&lt;/title&gt;&lt;/titles&gt;&lt;pages&gt;62&lt;/pages&gt;&lt;dates&gt;&lt;year&gt;2018&lt;/year&gt;&lt;pub-dates&gt;&lt;date&gt;20/04/2018&lt;/date&gt;&lt;/pub-dates&gt;&lt;/dates&gt;&lt;urls&gt;&lt;related-urls&gt;&lt;url&gt;http://www.who.int/hiv/pub/guidelines/cryptococcal-disease/en/&lt;/url&gt;&lt;/related-urls&gt;&lt;/urls&gt;&lt;/record&gt;&lt;/Cite&gt;&lt;Cite&gt;&lt;Author&gt;UNITAID&lt;/Author&gt;&lt;Year&gt;2019&lt;/Year&gt;&lt;RecNum&gt;1571&lt;/RecNum&gt;&lt;record&gt;&lt;rec-number&gt;1571&lt;/rec-number&gt;&lt;foreign-keys&gt;&lt;key app="EN" db-id="xdfr20atoada9fe0zdnpesp1z92ze5zv9dd9" timestamp="1548859986"&gt;1571&lt;/key&gt;&lt;/foreign-keys&gt;&lt;ref-type name="Web Page"&gt;12&lt;/ref-type&gt;&lt;contributors&gt;&lt;authors&gt;&lt;author&gt;UNITAID&lt;/author&gt;&lt;/authors&gt;&lt;/contributors&gt;&lt;titles&gt;&lt;title&gt;A plan to slash HIV deaths&lt;/title&gt;&lt;/titles&gt;&lt;number&gt;30/01/2019&lt;/number&gt;&lt;dates&gt;&lt;year&gt;2019&lt;/year&gt;&lt;/dates&gt;&lt;urls&gt;&lt;related-urls&gt;&lt;url&gt;https://unitaid.org/advanced-hiv-disease/#en&lt;/url&gt;&lt;/related-urls&gt;&lt;/urls&gt;&lt;/record&gt;&lt;/Cite&gt;&lt;/EndNote&gt;</w:instrText>
      </w:r>
      <w:r w:rsidR="00215AF8" w:rsidRPr="001B4C86">
        <w:rPr>
          <w:rFonts w:ascii="Arial" w:hAnsi="Arial" w:cs="Arial"/>
          <w:sz w:val="24"/>
          <w:szCs w:val="24"/>
        </w:rPr>
        <w:fldChar w:fldCharType="separate"/>
      </w:r>
      <w:r w:rsidR="003058FB" w:rsidRPr="001B4C86">
        <w:rPr>
          <w:rFonts w:ascii="Arial" w:hAnsi="Arial" w:cs="Arial"/>
          <w:noProof/>
          <w:sz w:val="24"/>
          <w:szCs w:val="24"/>
        </w:rPr>
        <w:t>[8, 9]</w:t>
      </w:r>
      <w:r w:rsidR="00215AF8" w:rsidRPr="001B4C86">
        <w:rPr>
          <w:rFonts w:ascii="Arial" w:hAnsi="Arial" w:cs="Arial"/>
          <w:sz w:val="24"/>
          <w:szCs w:val="24"/>
        </w:rPr>
        <w:fldChar w:fldCharType="end"/>
      </w:r>
      <w:r w:rsidR="001053A0" w:rsidRPr="001B4C86">
        <w:rPr>
          <w:rFonts w:ascii="Arial" w:hAnsi="Arial" w:cs="Arial"/>
          <w:sz w:val="24"/>
          <w:szCs w:val="24"/>
        </w:rPr>
        <w:t xml:space="preserve">. </w:t>
      </w:r>
      <w:bookmarkStart w:id="7" w:name="_Hlk4853101"/>
      <w:r w:rsidR="00421540" w:rsidRPr="001B4C86">
        <w:rPr>
          <w:rFonts w:ascii="Arial" w:hAnsi="Arial" w:cs="Arial"/>
          <w:sz w:val="24"/>
          <w:szCs w:val="24"/>
        </w:rPr>
        <w:t xml:space="preserve">Lastly, </w:t>
      </w:r>
      <w:r w:rsidR="002C59F1" w:rsidRPr="001B4C86">
        <w:rPr>
          <w:rFonts w:ascii="Arial" w:hAnsi="Arial" w:cs="Arial"/>
          <w:sz w:val="24"/>
          <w:szCs w:val="24"/>
        </w:rPr>
        <w:t>s</w:t>
      </w:r>
      <w:r w:rsidR="00421540" w:rsidRPr="001B4C86">
        <w:rPr>
          <w:rFonts w:ascii="Arial" w:hAnsi="Arial" w:cs="Arial"/>
          <w:sz w:val="24"/>
          <w:szCs w:val="24"/>
        </w:rPr>
        <w:t xml:space="preserve">ignificantly lower mortality </w:t>
      </w:r>
      <w:r w:rsidR="002C59F1" w:rsidRPr="001B4C86">
        <w:rPr>
          <w:rFonts w:ascii="Arial" w:hAnsi="Arial" w:cs="Arial"/>
          <w:sz w:val="24"/>
          <w:szCs w:val="24"/>
        </w:rPr>
        <w:t xml:space="preserve">was </w:t>
      </w:r>
      <w:r w:rsidR="00421540" w:rsidRPr="001B4C86">
        <w:rPr>
          <w:rFonts w:ascii="Arial" w:hAnsi="Arial" w:cs="Arial"/>
          <w:sz w:val="24"/>
          <w:szCs w:val="24"/>
        </w:rPr>
        <w:t xml:space="preserve">observed for </w:t>
      </w:r>
      <w:r w:rsidR="006A59A3" w:rsidRPr="001B4C86">
        <w:rPr>
          <w:rFonts w:ascii="Arial" w:hAnsi="Arial" w:cs="Arial"/>
          <w:sz w:val="24"/>
          <w:szCs w:val="24"/>
        </w:rPr>
        <w:t>participants</w:t>
      </w:r>
      <w:r w:rsidR="00421540" w:rsidRPr="001B4C86">
        <w:rPr>
          <w:rFonts w:ascii="Arial" w:hAnsi="Arial" w:cs="Arial"/>
          <w:sz w:val="24"/>
          <w:szCs w:val="24"/>
        </w:rPr>
        <w:t xml:space="preserve"> administered 5FC compared to those taking FLU as a partner drug with </w:t>
      </w:r>
      <w:proofErr w:type="spellStart"/>
      <w:r w:rsidR="00421540" w:rsidRPr="001B4C86">
        <w:rPr>
          <w:rFonts w:ascii="Arial" w:hAnsi="Arial" w:cs="Arial"/>
          <w:sz w:val="24"/>
          <w:szCs w:val="24"/>
        </w:rPr>
        <w:t>AmB</w:t>
      </w:r>
      <w:proofErr w:type="spellEnd"/>
      <w:r w:rsidR="00421540" w:rsidRPr="001B4C86">
        <w:rPr>
          <w:rFonts w:ascii="Arial" w:hAnsi="Arial" w:cs="Arial"/>
          <w:sz w:val="24"/>
          <w:szCs w:val="24"/>
        </w:rPr>
        <w:t xml:space="preserve">, at </w:t>
      </w:r>
      <w:proofErr w:type="spellStart"/>
      <w:r w:rsidR="00421540" w:rsidRPr="001B4C86">
        <w:rPr>
          <w:rFonts w:ascii="Arial" w:hAnsi="Arial" w:cs="Arial"/>
          <w:sz w:val="24"/>
          <w:szCs w:val="24"/>
        </w:rPr>
        <w:t>all time</w:t>
      </w:r>
      <w:proofErr w:type="spellEnd"/>
      <w:r w:rsidR="00421540" w:rsidRPr="001B4C86">
        <w:rPr>
          <w:rFonts w:ascii="Arial" w:hAnsi="Arial" w:cs="Arial"/>
          <w:sz w:val="24"/>
          <w:szCs w:val="24"/>
        </w:rPr>
        <w:t xml:space="preserve"> points</w:t>
      </w:r>
      <w:r w:rsidR="002C59F1" w:rsidRPr="001B4C86">
        <w:rPr>
          <w:rFonts w:ascii="Arial" w:hAnsi="Arial" w:cs="Arial"/>
          <w:sz w:val="24"/>
          <w:szCs w:val="24"/>
        </w:rPr>
        <w:t xml:space="preserve"> </w:t>
      </w:r>
      <w:r w:rsidR="00421540" w:rsidRPr="001B4C86">
        <w:rPr>
          <w:rFonts w:ascii="Arial" w:hAnsi="Arial" w:cs="Arial"/>
          <w:sz w:val="24"/>
          <w:szCs w:val="24"/>
        </w:rPr>
        <w:t>un</w:t>
      </w:r>
      <w:r w:rsidR="002C59F1" w:rsidRPr="001B4C86">
        <w:rPr>
          <w:rFonts w:ascii="Arial" w:hAnsi="Arial" w:cs="Arial"/>
          <w:sz w:val="24"/>
          <w:szCs w:val="24"/>
        </w:rPr>
        <w:t>der</w:t>
      </w:r>
      <w:r w:rsidR="00421540" w:rsidRPr="001B4C86">
        <w:rPr>
          <w:rFonts w:ascii="Arial" w:hAnsi="Arial" w:cs="Arial"/>
          <w:sz w:val="24"/>
          <w:szCs w:val="24"/>
        </w:rPr>
        <w:t xml:space="preserve">lining the urgent need to make 5FC readily available for patients with CM. </w:t>
      </w:r>
      <w:bookmarkEnd w:id="7"/>
    </w:p>
    <w:tbl>
      <w:tblPr>
        <w:tblStyle w:val="TableGrid"/>
        <w:tblW w:w="4995" w:type="pct"/>
        <w:tblLook w:val="04A0" w:firstRow="1" w:lastRow="0" w:firstColumn="1" w:lastColumn="0" w:noHBand="0" w:noVBand="1"/>
      </w:tblPr>
      <w:tblGrid>
        <w:gridCol w:w="7796"/>
        <w:gridCol w:w="7784"/>
      </w:tblGrid>
      <w:tr w:rsidR="001B4C86" w:rsidRPr="001B4C86" w14:paraId="5D72CEEC" w14:textId="77777777" w:rsidTr="00D36E9B">
        <w:trPr>
          <w:trHeight w:val="4014"/>
        </w:trPr>
        <w:tc>
          <w:tcPr>
            <w:tcW w:w="5000" w:type="pct"/>
            <w:gridSpan w:val="2"/>
          </w:tcPr>
          <w:p w14:paraId="00AABE26" w14:textId="760A4035" w:rsidR="005D01EA" w:rsidRPr="001B4C86" w:rsidRDefault="005D01EA" w:rsidP="005D01EA">
            <w:pPr>
              <w:pStyle w:val="Heading2"/>
              <w:outlineLvl w:val="1"/>
              <w:rPr>
                <w:rFonts w:asciiTheme="minorHAnsi" w:hAnsiTheme="minorHAnsi" w:cs="Arial"/>
                <w:color w:val="auto"/>
                <w:sz w:val="16"/>
                <w:szCs w:val="16"/>
                <w:u w:val="single"/>
              </w:rPr>
            </w:pPr>
            <w:r w:rsidRPr="001B4C86">
              <w:rPr>
                <w:color w:val="auto"/>
              </w:rPr>
              <w:lastRenderedPageBreak/>
              <w:t xml:space="preserve"> </w:t>
            </w:r>
            <w:r w:rsidRPr="001B4C86">
              <w:rPr>
                <w:rFonts w:asciiTheme="minorHAnsi" w:hAnsiTheme="minorHAnsi" w:cs="Arial"/>
                <w:color w:val="auto"/>
                <w:sz w:val="16"/>
                <w:szCs w:val="16"/>
              </w:rPr>
              <w:t>A</w:t>
            </w:r>
          </w:p>
          <w:tbl>
            <w:tblPr>
              <w:tblpPr w:leftFromText="180" w:rightFromText="180" w:vertAnchor="text" w:horzAnchor="margin" w:tblpXSpec="center" w:tblpY="109"/>
              <w:tblW w:w="4939" w:type="pct"/>
              <w:jc w:val="center"/>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2001"/>
              <w:gridCol w:w="1318"/>
              <w:gridCol w:w="1321"/>
              <w:gridCol w:w="1318"/>
              <w:gridCol w:w="1317"/>
              <w:gridCol w:w="1317"/>
              <w:gridCol w:w="1317"/>
              <w:gridCol w:w="1317"/>
              <w:gridCol w:w="1317"/>
              <w:gridCol w:w="1317"/>
              <w:gridCol w:w="1317"/>
            </w:tblGrid>
            <w:tr w:rsidR="001B4C86" w:rsidRPr="001B4C86" w14:paraId="7B856CD0" w14:textId="77777777" w:rsidTr="0049294F">
              <w:trPr>
                <w:cantSplit/>
                <w:trHeight w:val="170"/>
                <w:tblHeader/>
                <w:jc w:val="center"/>
              </w:trPr>
              <w:tc>
                <w:tcPr>
                  <w:tcW w:w="659" w:type="pct"/>
                  <w:tcBorders>
                    <w:top w:val="single" w:sz="4" w:space="0" w:color="auto"/>
                    <w:bottom w:val="single" w:sz="4" w:space="0" w:color="auto"/>
                  </w:tcBorders>
                  <w:shd w:val="clear" w:color="auto" w:fill="D9D9D9" w:themeFill="background1" w:themeFillShade="D9"/>
                  <w:tcMar>
                    <w:left w:w="60" w:type="dxa"/>
                    <w:right w:w="60" w:type="dxa"/>
                  </w:tcMar>
                  <w:vAlign w:val="center"/>
                </w:tcPr>
                <w:p w14:paraId="314D5E18" w14:textId="77777777" w:rsidR="005D01EA" w:rsidRPr="001B4C86" w:rsidRDefault="005D01EA" w:rsidP="005D01EA">
                  <w:pPr>
                    <w:adjustRightInd w:val="0"/>
                    <w:spacing w:after="0"/>
                    <w:jc w:val="center"/>
                    <w:rPr>
                      <w:rFonts w:cs="Arial"/>
                      <w:b/>
                      <w:sz w:val="15"/>
                      <w:szCs w:val="15"/>
                      <w:highlight w:val="yellow"/>
                    </w:rPr>
                  </w:pPr>
                </w:p>
              </w:tc>
              <w:tc>
                <w:tcPr>
                  <w:tcW w:w="434" w:type="pct"/>
                  <w:tcBorders>
                    <w:top w:val="single" w:sz="4" w:space="0" w:color="auto"/>
                    <w:bottom w:val="single" w:sz="4" w:space="0" w:color="auto"/>
                  </w:tcBorders>
                  <w:shd w:val="clear" w:color="auto" w:fill="D9D9D9" w:themeFill="background1" w:themeFillShade="D9"/>
                  <w:tcMar>
                    <w:left w:w="60" w:type="dxa"/>
                    <w:right w:w="60" w:type="dxa"/>
                  </w:tcMar>
                  <w:vAlign w:val="center"/>
                </w:tcPr>
                <w:p w14:paraId="001F9198" w14:textId="77777777" w:rsidR="005D01EA" w:rsidRPr="001B4C86" w:rsidRDefault="005D01EA" w:rsidP="005D01EA">
                  <w:pPr>
                    <w:spacing w:after="0"/>
                    <w:jc w:val="center"/>
                    <w:rPr>
                      <w:rFonts w:cs="Arial"/>
                      <w:b/>
                      <w:sz w:val="15"/>
                      <w:szCs w:val="15"/>
                      <w:highlight w:val="yellow"/>
                    </w:rPr>
                  </w:pPr>
                </w:p>
              </w:tc>
              <w:tc>
                <w:tcPr>
                  <w:tcW w:w="435" w:type="pct"/>
                  <w:tcBorders>
                    <w:top w:val="single" w:sz="4" w:space="0" w:color="auto"/>
                    <w:bottom w:val="single" w:sz="4" w:space="0" w:color="auto"/>
                  </w:tcBorders>
                  <w:shd w:val="clear" w:color="auto" w:fill="D9D9D9" w:themeFill="background1" w:themeFillShade="D9"/>
                  <w:tcMar>
                    <w:left w:w="60" w:type="dxa"/>
                    <w:right w:w="60" w:type="dxa"/>
                  </w:tcMar>
                  <w:vAlign w:val="center"/>
                </w:tcPr>
                <w:p w14:paraId="56212F26" w14:textId="77777777" w:rsidR="005D01EA" w:rsidRPr="001B4C86" w:rsidRDefault="005D01EA" w:rsidP="005D01EA">
                  <w:pPr>
                    <w:spacing w:after="0"/>
                    <w:jc w:val="center"/>
                    <w:rPr>
                      <w:rFonts w:cs="Arial"/>
                      <w:b/>
                      <w:sz w:val="15"/>
                      <w:szCs w:val="15"/>
                      <w:highlight w:val="yellow"/>
                    </w:rPr>
                  </w:pPr>
                </w:p>
              </w:tc>
              <w:tc>
                <w:tcPr>
                  <w:tcW w:w="434" w:type="pct"/>
                  <w:tcBorders>
                    <w:top w:val="single" w:sz="4" w:space="0" w:color="auto"/>
                    <w:bottom w:val="single" w:sz="4" w:space="0" w:color="auto"/>
                  </w:tcBorders>
                  <w:shd w:val="clear" w:color="auto" w:fill="D9D9D9" w:themeFill="background1" w:themeFillShade="D9"/>
                  <w:tcMar>
                    <w:left w:w="60" w:type="dxa"/>
                    <w:right w:w="60" w:type="dxa"/>
                  </w:tcMar>
                  <w:vAlign w:val="center"/>
                </w:tcPr>
                <w:p w14:paraId="521AAC78" w14:textId="77777777" w:rsidR="005D01EA" w:rsidRPr="001B4C86" w:rsidRDefault="005D01EA" w:rsidP="005D01EA">
                  <w:pPr>
                    <w:spacing w:after="0"/>
                    <w:jc w:val="center"/>
                    <w:rPr>
                      <w:rFonts w:cs="Arial"/>
                      <w:b/>
                      <w:sz w:val="15"/>
                      <w:szCs w:val="15"/>
                      <w:highlight w:val="yellow"/>
                    </w:rPr>
                  </w:pPr>
                </w:p>
              </w:tc>
              <w:tc>
                <w:tcPr>
                  <w:tcW w:w="434" w:type="pct"/>
                  <w:tcBorders>
                    <w:top w:val="single" w:sz="4" w:space="0" w:color="auto"/>
                    <w:bottom w:val="single" w:sz="4" w:space="0" w:color="auto"/>
                  </w:tcBorders>
                  <w:shd w:val="clear" w:color="auto" w:fill="D9D9D9" w:themeFill="background1" w:themeFillShade="D9"/>
                  <w:vAlign w:val="center"/>
                </w:tcPr>
                <w:p w14:paraId="64575819" w14:textId="77777777" w:rsidR="005D01EA" w:rsidRPr="001B4C86" w:rsidRDefault="005D01EA" w:rsidP="005D01EA">
                  <w:pPr>
                    <w:spacing w:after="0"/>
                    <w:jc w:val="center"/>
                    <w:rPr>
                      <w:rFonts w:cs="Arial"/>
                      <w:b/>
                      <w:sz w:val="15"/>
                      <w:szCs w:val="15"/>
                      <w:highlight w:val="yellow"/>
                    </w:rPr>
                  </w:pPr>
                </w:p>
              </w:tc>
              <w:tc>
                <w:tcPr>
                  <w:tcW w:w="434" w:type="pct"/>
                  <w:tcBorders>
                    <w:top w:val="single" w:sz="4" w:space="0" w:color="auto"/>
                    <w:bottom w:val="single" w:sz="4" w:space="0" w:color="auto"/>
                  </w:tcBorders>
                  <w:shd w:val="clear" w:color="auto" w:fill="D9D9D9" w:themeFill="background1" w:themeFillShade="D9"/>
                  <w:vAlign w:val="center"/>
                </w:tcPr>
                <w:p w14:paraId="05DBB57D" w14:textId="77777777" w:rsidR="005D01EA" w:rsidRPr="001B4C86" w:rsidRDefault="005D01EA" w:rsidP="005D01EA">
                  <w:pPr>
                    <w:spacing w:after="0"/>
                    <w:jc w:val="center"/>
                    <w:rPr>
                      <w:rFonts w:cs="Arial"/>
                      <w:b/>
                      <w:sz w:val="15"/>
                      <w:szCs w:val="15"/>
                      <w:highlight w:val="yellow"/>
                    </w:rPr>
                  </w:pPr>
                </w:p>
              </w:tc>
              <w:tc>
                <w:tcPr>
                  <w:tcW w:w="2170" w:type="pct"/>
                  <w:gridSpan w:val="5"/>
                  <w:tcBorders>
                    <w:top w:val="single" w:sz="4" w:space="0" w:color="auto"/>
                    <w:bottom w:val="single" w:sz="4" w:space="0" w:color="auto"/>
                  </w:tcBorders>
                  <w:shd w:val="clear" w:color="auto" w:fill="D9D9D9" w:themeFill="background1" w:themeFillShade="D9"/>
                  <w:vAlign w:val="center"/>
                </w:tcPr>
                <w:p w14:paraId="58CE404B" w14:textId="26FE8309" w:rsidR="005D01EA" w:rsidRPr="001B4C86" w:rsidRDefault="005D01EA" w:rsidP="005D01EA">
                  <w:pPr>
                    <w:spacing w:after="0"/>
                    <w:jc w:val="center"/>
                    <w:rPr>
                      <w:rFonts w:cs="Arial"/>
                      <w:b/>
                      <w:sz w:val="15"/>
                      <w:szCs w:val="15"/>
                      <w:highlight w:val="yellow"/>
                    </w:rPr>
                  </w:pPr>
                  <w:r w:rsidRPr="001B4C86">
                    <w:rPr>
                      <w:rFonts w:cs="Arial"/>
                      <w:b/>
                      <w:sz w:val="15"/>
                      <w:szCs w:val="15"/>
                    </w:rPr>
                    <w:t xml:space="preserve">Hazard Ratio (95% CI) (Reference group: </w:t>
                  </w:r>
                  <w:r w:rsidR="0049294F" w:rsidRPr="001B4C86">
                    <w:rPr>
                      <w:rFonts w:cs="Arial"/>
                      <w:b/>
                      <w:sz w:val="15"/>
                      <w:szCs w:val="15"/>
                    </w:rPr>
                    <w:t xml:space="preserve">2 weeks </w:t>
                  </w:r>
                  <w:proofErr w:type="spellStart"/>
                  <w:r w:rsidR="0049294F" w:rsidRPr="001B4C86">
                    <w:rPr>
                      <w:rFonts w:cs="Arial"/>
                      <w:b/>
                      <w:sz w:val="15"/>
                      <w:szCs w:val="15"/>
                    </w:rPr>
                    <w:t>AmB</w:t>
                  </w:r>
                  <w:proofErr w:type="spellEnd"/>
                  <w:r w:rsidR="0049294F" w:rsidRPr="001B4C86">
                    <w:rPr>
                      <w:rFonts w:cs="Arial"/>
                      <w:b/>
                      <w:sz w:val="15"/>
                      <w:szCs w:val="15"/>
                    </w:rPr>
                    <w:t xml:space="preserve"> + 5FC</w:t>
                  </w:r>
                  <w:r w:rsidRPr="001B4C86">
                    <w:rPr>
                      <w:rFonts w:cs="Arial"/>
                      <w:b/>
                      <w:sz w:val="15"/>
                      <w:szCs w:val="15"/>
                    </w:rPr>
                    <w:t>)</w:t>
                  </w:r>
                </w:p>
              </w:tc>
            </w:tr>
            <w:tr w:rsidR="001B4C86" w:rsidRPr="001B4C86" w14:paraId="040847F8" w14:textId="77777777" w:rsidTr="005C0B7E">
              <w:trPr>
                <w:cantSplit/>
                <w:trHeight w:val="538"/>
                <w:tblHeader/>
                <w:jc w:val="center"/>
              </w:trPr>
              <w:tc>
                <w:tcPr>
                  <w:tcW w:w="659" w:type="pct"/>
                  <w:tcBorders>
                    <w:top w:val="single" w:sz="4" w:space="0" w:color="auto"/>
                    <w:bottom w:val="single" w:sz="4" w:space="0" w:color="auto"/>
                  </w:tcBorders>
                  <w:shd w:val="clear" w:color="auto" w:fill="D9D9D9" w:themeFill="background1" w:themeFillShade="D9"/>
                  <w:tcMar>
                    <w:left w:w="60" w:type="dxa"/>
                    <w:right w:w="60" w:type="dxa"/>
                  </w:tcMar>
                  <w:vAlign w:val="center"/>
                </w:tcPr>
                <w:p w14:paraId="48AC5329" w14:textId="77777777" w:rsidR="0049294F" w:rsidRPr="001B4C86" w:rsidRDefault="0049294F" w:rsidP="0049294F">
                  <w:pPr>
                    <w:adjustRightInd w:val="0"/>
                    <w:spacing w:after="0"/>
                    <w:jc w:val="center"/>
                    <w:rPr>
                      <w:rFonts w:cs="Arial"/>
                      <w:b/>
                      <w:sz w:val="15"/>
                      <w:szCs w:val="15"/>
                    </w:rPr>
                  </w:pPr>
                  <w:r w:rsidRPr="001B4C86">
                    <w:rPr>
                      <w:rFonts w:cs="Arial"/>
                      <w:b/>
                      <w:sz w:val="15"/>
                      <w:szCs w:val="15"/>
                    </w:rPr>
                    <w:t>Outcomes</w:t>
                  </w:r>
                </w:p>
              </w:tc>
              <w:tc>
                <w:tcPr>
                  <w:tcW w:w="434" w:type="pct"/>
                  <w:tcBorders>
                    <w:top w:val="single" w:sz="4" w:space="0" w:color="auto"/>
                    <w:bottom w:val="single" w:sz="4" w:space="0" w:color="auto"/>
                  </w:tcBorders>
                  <w:shd w:val="clear" w:color="auto" w:fill="D9D9D9" w:themeFill="background1" w:themeFillShade="D9"/>
                  <w:tcMar>
                    <w:left w:w="60" w:type="dxa"/>
                    <w:right w:w="60" w:type="dxa"/>
                  </w:tcMar>
                  <w:vAlign w:val="center"/>
                </w:tcPr>
                <w:p w14:paraId="49822D0D" w14:textId="77777777" w:rsidR="0049294F" w:rsidRPr="001B4C86" w:rsidRDefault="0049294F" w:rsidP="0049294F">
                  <w:pPr>
                    <w:adjustRightInd w:val="0"/>
                    <w:spacing w:after="0"/>
                    <w:jc w:val="center"/>
                    <w:rPr>
                      <w:rFonts w:cs="Arial"/>
                      <w:b/>
                      <w:sz w:val="15"/>
                      <w:szCs w:val="15"/>
                    </w:rPr>
                  </w:pPr>
                  <w:r w:rsidRPr="001B4C86">
                    <w:rPr>
                      <w:rFonts w:cs="Arial"/>
                      <w:b/>
                      <w:sz w:val="15"/>
                      <w:szCs w:val="15"/>
                    </w:rPr>
                    <w:t xml:space="preserve">Oral </w:t>
                  </w:r>
                </w:p>
                <w:p w14:paraId="15FF1F71" w14:textId="220719A6" w:rsidR="0049294F" w:rsidRPr="001B4C86" w:rsidRDefault="0049294F" w:rsidP="0049294F">
                  <w:pPr>
                    <w:adjustRightInd w:val="0"/>
                    <w:spacing w:after="0"/>
                    <w:jc w:val="center"/>
                    <w:rPr>
                      <w:rFonts w:cs="Arial"/>
                      <w:b/>
                      <w:sz w:val="15"/>
                      <w:szCs w:val="15"/>
                    </w:rPr>
                  </w:pPr>
                  <w:r w:rsidRPr="001B4C86">
                    <w:rPr>
                      <w:rFonts w:cs="Arial"/>
                      <w:b/>
                      <w:sz w:val="15"/>
                      <w:szCs w:val="15"/>
                    </w:rPr>
                    <w:t>(2 weeks 5FC+FLU)</w:t>
                  </w:r>
                </w:p>
                <w:p w14:paraId="7765F9D4" w14:textId="77777777" w:rsidR="0049294F" w:rsidRPr="001B4C86" w:rsidRDefault="0049294F" w:rsidP="0049294F">
                  <w:pPr>
                    <w:spacing w:after="0"/>
                    <w:jc w:val="center"/>
                    <w:rPr>
                      <w:rFonts w:cs="Arial"/>
                      <w:b/>
                      <w:sz w:val="15"/>
                      <w:szCs w:val="15"/>
                    </w:rPr>
                  </w:pPr>
                  <w:r w:rsidRPr="001B4C86">
                    <w:rPr>
                      <w:rFonts w:cs="Arial"/>
                      <w:b/>
                      <w:sz w:val="15"/>
                      <w:szCs w:val="15"/>
                    </w:rPr>
                    <w:t>(n=75)</w:t>
                  </w:r>
                </w:p>
              </w:tc>
              <w:tc>
                <w:tcPr>
                  <w:tcW w:w="435" w:type="pct"/>
                  <w:tcBorders>
                    <w:top w:val="single" w:sz="4" w:space="0" w:color="auto"/>
                    <w:bottom w:val="single" w:sz="4" w:space="0" w:color="auto"/>
                  </w:tcBorders>
                  <w:shd w:val="clear" w:color="auto" w:fill="D9D9D9" w:themeFill="background1" w:themeFillShade="D9"/>
                  <w:tcMar>
                    <w:left w:w="60" w:type="dxa"/>
                    <w:right w:w="60" w:type="dxa"/>
                  </w:tcMar>
                  <w:vAlign w:val="center"/>
                </w:tcPr>
                <w:p w14:paraId="1E2E3AAB" w14:textId="77777777" w:rsidR="0049294F" w:rsidRPr="001B4C86" w:rsidRDefault="0049294F" w:rsidP="0049294F">
                  <w:pPr>
                    <w:spacing w:after="0"/>
                    <w:jc w:val="center"/>
                    <w:rPr>
                      <w:rFonts w:cs="Arial"/>
                      <w:b/>
                      <w:sz w:val="15"/>
                      <w:szCs w:val="15"/>
                    </w:rPr>
                  </w:pPr>
                  <w:r w:rsidRPr="001B4C86">
                    <w:rPr>
                      <w:rFonts w:cs="Arial"/>
                      <w:b/>
                      <w:sz w:val="15"/>
                      <w:szCs w:val="15"/>
                    </w:rPr>
                    <w:t xml:space="preserve">1 week </w:t>
                  </w:r>
                  <w:proofErr w:type="spellStart"/>
                  <w:r w:rsidRPr="001B4C86">
                    <w:rPr>
                      <w:rFonts w:cs="Arial"/>
                      <w:b/>
                      <w:sz w:val="15"/>
                      <w:szCs w:val="15"/>
                    </w:rPr>
                    <w:t>AmB</w:t>
                  </w:r>
                  <w:proofErr w:type="spellEnd"/>
                </w:p>
                <w:p w14:paraId="6E8D8750" w14:textId="77777777" w:rsidR="0049294F" w:rsidRPr="001B4C86" w:rsidRDefault="0049294F" w:rsidP="0049294F">
                  <w:pPr>
                    <w:spacing w:after="0"/>
                    <w:jc w:val="center"/>
                    <w:rPr>
                      <w:rFonts w:cs="Arial"/>
                      <w:b/>
                      <w:sz w:val="15"/>
                      <w:szCs w:val="15"/>
                    </w:rPr>
                  </w:pPr>
                  <w:r w:rsidRPr="001B4C86">
                    <w:rPr>
                      <w:rFonts w:cs="Arial"/>
                      <w:b/>
                      <w:sz w:val="15"/>
                      <w:szCs w:val="15"/>
                    </w:rPr>
                    <w:t>+ FLU</w:t>
                  </w:r>
                </w:p>
                <w:p w14:paraId="468CF60F" w14:textId="77777777" w:rsidR="0049294F" w:rsidRPr="001B4C86" w:rsidRDefault="0049294F" w:rsidP="0049294F">
                  <w:pPr>
                    <w:adjustRightInd w:val="0"/>
                    <w:spacing w:after="0"/>
                    <w:jc w:val="center"/>
                    <w:rPr>
                      <w:rFonts w:cs="Arial"/>
                      <w:b/>
                      <w:sz w:val="15"/>
                      <w:szCs w:val="15"/>
                    </w:rPr>
                  </w:pPr>
                  <w:r w:rsidRPr="001B4C86">
                    <w:rPr>
                      <w:rFonts w:cs="Arial"/>
                      <w:b/>
                      <w:sz w:val="15"/>
                      <w:szCs w:val="15"/>
                    </w:rPr>
                    <w:t>(n=36)</w:t>
                  </w:r>
                </w:p>
              </w:tc>
              <w:tc>
                <w:tcPr>
                  <w:tcW w:w="434" w:type="pct"/>
                  <w:tcBorders>
                    <w:top w:val="single" w:sz="4" w:space="0" w:color="auto"/>
                    <w:bottom w:val="single" w:sz="4" w:space="0" w:color="auto"/>
                  </w:tcBorders>
                  <w:shd w:val="clear" w:color="auto" w:fill="D9D9D9" w:themeFill="background1" w:themeFillShade="D9"/>
                  <w:tcMar>
                    <w:left w:w="60" w:type="dxa"/>
                    <w:right w:w="60" w:type="dxa"/>
                  </w:tcMar>
                  <w:vAlign w:val="center"/>
                </w:tcPr>
                <w:p w14:paraId="28C869CE" w14:textId="77777777" w:rsidR="0049294F" w:rsidRPr="001B4C86" w:rsidRDefault="0049294F" w:rsidP="0049294F">
                  <w:pPr>
                    <w:spacing w:after="0"/>
                    <w:jc w:val="center"/>
                    <w:rPr>
                      <w:rFonts w:cs="Arial"/>
                      <w:b/>
                      <w:sz w:val="15"/>
                      <w:szCs w:val="15"/>
                    </w:rPr>
                  </w:pPr>
                  <w:r w:rsidRPr="001B4C86">
                    <w:rPr>
                      <w:rFonts w:cs="Arial"/>
                      <w:b/>
                      <w:sz w:val="15"/>
                      <w:szCs w:val="15"/>
                    </w:rPr>
                    <w:t xml:space="preserve">1 week </w:t>
                  </w:r>
                  <w:proofErr w:type="spellStart"/>
                  <w:r w:rsidRPr="001B4C86">
                    <w:rPr>
                      <w:rFonts w:cs="Arial"/>
                      <w:b/>
                      <w:sz w:val="15"/>
                      <w:szCs w:val="15"/>
                    </w:rPr>
                    <w:t>AmB</w:t>
                  </w:r>
                  <w:proofErr w:type="spellEnd"/>
                </w:p>
                <w:p w14:paraId="2B8FBAD6" w14:textId="77777777" w:rsidR="0049294F" w:rsidRPr="001B4C86" w:rsidRDefault="0049294F" w:rsidP="0049294F">
                  <w:pPr>
                    <w:spacing w:after="0"/>
                    <w:jc w:val="center"/>
                    <w:rPr>
                      <w:rFonts w:cs="Arial"/>
                      <w:b/>
                      <w:sz w:val="15"/>
                      <w:szCs w:val="15"/>
                    </w:rPr>
                  </w:pPr>
                  <w:r w:rsidRPr="001B4C86">
                    <w:rPr>
                      <w:rFonts w:cs="Arial"/>
                      <w:b/>
                      <w:sz w:val="15"/>
                      <w:szCs w:val="15"/>
                    </w:rPr>
                    <w:t>+ 5FC</w:t>
                  </w:r>
                </w:p>
                <w:p w14:paraId="43FF63A8" w14:textId="77777777" w:rsidR="0049294F" w:rsidRPr="001B4C86" w:rsidRDefault="0049294F" w:rsidP="0049294F">
                  <w:pPr>
                    <w:adjustRightInd w:val="0"/>
                    <w:spacing w:after="0"/>
                    <w:jc w:val="center"/>
                    <w:rPr>
                      <w:rFonts w:cs="Arial"/>
                      <w:b/>
                      <w:sz w:val="15"/>
                      <w:szCs w:val="15"/>
                    </w:rPr>
                  </w:pPr>
                  <w:r w:rsidRPr="001B4C86">
                    <w:rPr>
                      <w:rFonts w:cs="Arial"/>
                      <w:b/>
                      <w:sz w:val="15"/>
                      <w:szCs w:val="15"/>
                    </w:rPr>
                    <w:t>(n=40)</w:t>
                  </w:r>
                </w:p>
              </w:tc>
              <w:tc>
                <w:tcPr>
                  <w:tcW w:w="434" w:type="pct"/>
                  <w:tcBorders>
                    <w:top w:val="single" w:sz="4" w:space="0" w:color="auto"/>
                    <w:bottom w:val="single" w:sz="4" w:space="0" w:color="auto"/>
                  </w:tcBorders>
                  <w:shd w:val="clear" w:color="auto" w:fill="D9D9D9" w:themeFill="background1" w:themeFillShade="D9"/>
                  <w:vAlign w:val="center"/>
                </w:tcPr>
                <w:p w14:paraId="379EFB8C" w14:textId="77777777" w:rsidR="0049294F" w:rsidRPr="001B4C86" w:rsidRDefault="0049294F" w:rsidP="0049294F">
                  <w:pPr>
                    <w:spacing w:after="0"/>
                    <w:jc w:val="center"/>
                    <w:rPr>
                      <w:rFonts w:cs="Arial"/>
                      <w:b/>
                      <w:sz w:val="15"/>
                      <w:szCs w:val="15"/>
                    </w:rPr>
                  </w:pPr>
                  <w:r w:rsidRPr="001B4C86">
                    <w:rPr>
                      <w:rFonts w:cs="Arial"/>
                      <w:b/>
                      <w:sz w:val="15"/>
                      <w:szCs w:val="15"/>
                    </w:rPr>
                    <w:t xml:space="preserve">2 weeks </w:t>
                  </w:r>
                  <w:proofErr w:type="spellStart"/>
                  <w:r w:rsidRPr="001B4C86">
                    <w:rPr>
                      <w:rFonts w:cs="Arial"/>
                      <w:b/>
                      <w:sz w:val="15"/>
                      <w:szCs w:val="15"/>
                    </w:rPr>
                    <w:t>AmB</w:t>
                  </w:r>
                  <w:proofErr w:type="spellEnd"/>
                </w:p>
                <w:p w14:paraId="692509B1" w14:textId="77777777" w:rsidR="0049294F" w:rsidRPr="001B4C86" w:rsidRDefault="0049294F" w:rsidP="0049294F">
                  <w:pPr>
                    <w:spacing w:after="0"/>
                    <w:jc w:val="center"/>
                    <w:rPr>
                      <w:rFonts w:cs="Arial"/>
                      <w:b/>
                      <w:sz w:val="15"/>
                      <w:szCs w:val="15"/>
                    </w:rPr>
                  </w:pPr>
                  <w:r w:rsidRPr="001B4C86">
                    <w:rPr>
                      <w:rFonts w:cs="Arial"/>
                      <w:b/>
                      <w:sz w:val="15"/>
                      <w:szCs w:val="15"/>
                    </w:rPr>
                    <w:t>+ FLU</w:t>
                  </w:r>
                </w:p>
                <w:p w14:paraId="4CF1B15A" w14:textId="77777777" w:rsidR="0049294F" w:rsidRPr="001B4C86" w:rsidRDefault="0049294F" w:rsidP="0049294F">
                  <w:pPr>
                    <w:adjustRightInd w:val="0"/>
                    <w:spacing w:after="0"/>
                    <w:jc w:val="center"/>
                    <w:rPr>
                      <w:rFonts w:cs="Arial"/>
                      <w:b/>
                      <w:sz w:val="15"/>
                      <w:szCs w:val="15"/>
                    </w:rPr>
                  </w:pPr>
                  <w:r w:rsidRPr="001B4C86">
                    <w:rPr>
                      <w:rFonts w:cs="Arial"/>
                      <w:b/>
                      <w:sz w:val="15"/>
                      <w:szCs w:val="15"/>
                    </w:rPr>
                    <w:t>(n=36)</w:t>
                  </w:r>
                </w:p>
              </w:tc>
              <w:tc>
                <w:tcPr>
                  <w:tcW w:w="434" w:type="pct"/>
                  <w:tcBorders>
                    <w:top w:val="single" w:sz="4" w:space="0" w:color="auto"/>
                    <w:bottom w:val="single" w:sz="4" w:space="0" w:color="auto"/>
                    <w:right w:val="single" w:sz="4" w:space="0" w:color="auto"/>
                  </w:tcBorders>
                  <w:shd w:val="clear" w:color="auto" w:fill="D9D9D9" w:themeFill="background1" w:themeFillShade="D9"/>
                  <w:vAlign w:val="center"/>
                </w:tcPr>
                <w:p w14:paraId="6F2DB2AB" w14:textId="77777777" w:rsidR="0049294F" w:rsidRPr="001B4C86" w:rsidRDefault="0049294F" w:rsidP="0049294F">
                  <w:pPr>
                    <w:spacing w:after="0"/>
                    <w:jc w:val="center"/>
                    <w:rPr>
                      <w:rFonts w:cs="Arial"/>
                      <w:b/>
                      <w:sz w:val="15"/>
                      <w:szCs w:val="15"/>
                    </w:rPr>
                  </w:pPr>
                  <w:r w:rsidRPr="001B4C86">
                    <w:rPr>
                      <w:rFonts w:cs="Arial"/>
                      <w:b/>
                      <w:sz w:val="15"/>
                      <w:szCs w:val="15"/>
                    </w:rPr>
                    <w:t xml:space="preserve">2 weeks </w:t>
                  </w:r>
                  <w:proofErr w:type="spellStart"/>
                  <w:r w:rsidRPr="001B4C86">
                    <w:rPr>
                      <w:rFonts w:cs="Arial"/>
                      <w:b/>
                      <w:sz w:val="15"/>
                      <w:szCs w:val="15"/>
                    </w:rPr>
                    <w:t>AmB</w:t>
                  </w:r>
                  <w:proofErr w:type="spellEnd"/>
                </w:p>
                <w:p w14:paraId="472C3651" w14:textId="77777777" w:rsidR="0049294F" w:rsidRPr="001B4C86" w:rsidRDefault="0049294F" w:rsidP="0049294F">
                  <w:pPr>
                    <w:spacing w:after="0"/>
                    <w:jc w:val="center"/>
                    <w:rPr>
                      <w:rFonts w:cs="Arial"/>
                      <w:b/>
                      <w:sz w:val="15"/>
                      <w:szCs w:val="15"/>
                    </w:rPr>
                  </w:pPr>
                  <w:r w:rsidRPr="001B4C86">
                    <w:rPr>
                      <w:rFonts w:cs="Arial"/>
                      <w:b/>
                      <w:sz w:val="15"/>
                      <w:szCs w:val="15"/>
                    </w:rPr>
                    <w:t>+ 5FC</w:t>
                  </w:r>
                </w:p>
                <w:p w14:paraId="062CA65C" w14:textId="77777777" w:rsidR="0049294F" w:rsidRPr="001B4C86" w:rsidRDefault="0049294F" w:rsidP="0049294F">
                  <w:pPr>
                    <w:adjustRightInd w:val="0"/>
                    <w:spacing w:after="0"/>
                    <w:jc w:val="center"/>
                    <w:rPr>
                      <w:rFonts w:cs="Arial"/>
                      <w:b/>
                      <w:sz w:val="15"/>
                      <w:szCs w:val="15"/>
                    </w:rPr>
                  </w:pPr>
                  <w:r w:rsidRPr="001B4C86">
                    <w:rPr>
                      <w:rFonts w:cs="Arial"/>
                      <w:b/>
                      <w:sz w:val="15"/>
                      <w:szCs w:val="15"/>
                    </w:rPr>
                    <w:t>(n=37)</w:t>
                  </w:r>
                </w:p>
              </w:tc>
              <w:tc>
                <w:tcPr>
                  <w:tcW w:w="434" w:type="pct"/>
                  <w:tcBorders>
                    <w:top w:val="single" w:sz="4" w:space="0" w:color="auto"/>
                    <w:left w:val="single" w:sz="4" w:space="0" w:color="auto"/>
                    <w:bottom w:val="single" w:sz="4" w:space="0" w:color="auto"/>
                  </w:tcBorders>
                  <w:shd w:val="clear" w:color="auto" w:fill="D9D9D9" w:themeFill="background1" w:themeFillShade="D9"/>
                  <w:tcMar>
                    <w:left w:w="60" w:type="dxa"/>
                    <w:right w:w="60" w:type="dxa"/>
                  </w:tcMar>
                  <w:vAlign w:val="center"/>
                </w:tcPr>
                <w:p w14:paraId="3EF3A72C" w14:textId="77777777" w:rsidR="0049294F" w:rsidRPr="001B4C86" w:rsidRDefault="0049294F" w:rsidP="0049294F">
                  <w:pPr>
                    <w:adjustRightInd w:val="0"/>
                    <w:spacing w:after="0"/>
                    <w:jc w:val="center"/>
                    <w:rPr>
                      <w:rFonts w:cs="Arial"/>
                      <w:b/>
                      <w:sz w:val="15"/>
                      <w:szCs w:val="15"/>
                    </w:rPr>
                  </w:pPr>
                  <w:r w:rsidRPr="001B4C86">
                    <w:rPr>
                      <w:rFonts w:cs="Arial"/>
                      <w:b/>
                      <w:sz w:val="15"/>
                      <w:szCs w:val="15"/>
                    </w:rPr>
                    <w:t>Oral</w:t>
                  </w:r>
                </w:p>
                <w:p w14:paraId="79F6BE3B" w14:textId="3DEBED32" w:rsidR="0049294F" w:rsidRPr="001B4C86" w:rsidRDefault="0049294F" w:rsidP="0049294F">
                  <w:pPr>
                    <w:adjustRightInd w:val="0"/>
                    <w:spacing w:after="0"/>
                    <w:jc w:val="center"/>
                    <w:rPr>
                      <w:rFonts w:cs="Arial"/>
                      <w:b/>
                      <w:sz w:val="15"/>
                      <w:szCs w:val="15"/>
                    </w:rPr>
                  </w:pPr>
                  <w:r w:rsidRPr="001B4C86">
                    <w:rPr>
                      <w:rFonts w:cs="Arial"/>
                      <w:b/>
                      <w:sz w:val="15"/>
                      <w:szCs w:val="15"/>
                    </w:rPr>
                    <w:t>(2 weeks 5FC+FLU)</w:t>
                  </w:r>
                </w:p>
              </w:tc>
              <w:tc>
                <w:tcPr>
                  <w:tcW w:w="434" w:type="pct"/>
                  <w:tcBorders>
                    <w:top w:val="single" w:sz="4" w:space="0" w:color="auto"/>
                    <w:bottom w:val="single" w:sz="4" w:space="0" w:color="auto"/>
                  </w:tcBorders>
                  <w:shd w:val="clear" w:color="auto" w:fill="D9D9D9" w:themeFill="background1" w:themeFillShade="D9"/>
                  <w:tcMar>
                    <w:left w:w="60" w:type="dxa"/>
                    <w:right w:w="60" w:type="dxa"/>
                  </w:tcMar>
                  <w:vAlign w:val="center"/>
                </w:tcPr>
                <w:p w14:paraId="09ECE116" w14:textId="77777777" w:rsidR="0049294F" w:rsidRPr="001B4C86" w:rsidRDefault="0049294F" w:rsidP="0049294F">
                  <w:pPr>
                    <w:spacing w:after="0"/>
                    <w:jc w:val="center"/>
                    <w:rPr>
                      <w:rFonts w:cs="Arial"/>
                      <w:b/>
                      <w:sz w:val="15"/>
                      <w:szCs w:val="15"/>
                    </w:rPr>
                  </w:pPr>
                  <w:r w:rsidRPr="001B4C86">
                    <w:rPr>
                      <w:rFonts w:cs="Arial"/>
                      <w:b/>
                      <w:sz w:val="15"/>
                      <w:szCs w:val="15"/>
                    </w:rPr>
                    <w:t xml:space="preserve">1 week </w:t>
                  </w:r>
                  <w:proofErr w:type="spellStart"/>
                  <w:r w:rsidRPr="001B4C86">
                    <w:rPr>
                      <w:rFonts w:cs="Arial"/>
                      <w:b/>
                      <w:sz w:val="15"/>
                      <w:szCs w:val="15"/>
                    </w:rPr>
                    <w:t>AmB</w:t>
                  </w:r>
                  <w:proofErr w:type="spellEnd"/>
                </w:p>
                <w:p w14:paraId="5F83C203" w14:textId="77777777" w:rsidR="0049294F" w:rsidRPr="001B4C86" w:rsidRDefault="0049294F" w:rsidP="0049294F">
                  <w:pPr>
                    <w:spacing w:after="0"/>
                    <w:jc w:val="center"/>
                    <w:rPr>
                      <w:rFonts w:cs="Arial"/>
                      <w:b/>
                      <w:sz w:val="15"/>
                      <w:szCs w:val="15"/>
                    </w:rPr>
                  </w:pPr>
                  <w:r w:rsidRPr="001B4C86">
                    <w:rPr>
                      <w:rFonts w:cs="Arial"/>
                      <w:b/>
                      <w:sz w:val="15"/>
                      <w:szCs w:val="15"/>
                    </w:rPr>
                    <w:t>+ FLU</w:t>
                  </w:r>
                </w:p>
              </w:tc>
              <w:tc>
                <w:tcPr>
                  <w:tcW w:w="434" w:type="pct"/>
                  <w:tcBorders>
                    <w:top w:val="single" w:sz="4" w:space="0" w:color="auto"/>
                    <w:bottom w:val="single" w:sz="4" w:space="0" w:color="auto"/>
                  </w:tcBorders>
                  <w:shd w:val="clear" w:color="auto" w:fill="D9D9D9" w:themeFill="background1" w:themeFillShade="D9"/>
                  <w:vAlign w:val="center"/>
                </w:tcPr>
                <w:p w14:paraId="5286082B" w14:textId="77777777" w:rsidR="0049294F" w:rsidRPr="001B4C86" w:rsidRDefault="0049294F" w:rsidP="0049294F">
                  <w:pPr>
                    <w:spacing w:after="0"/>
                    <w:jc w:val="center"/>
                    <w:rPr>
                      <w:rFonts w:cs="Arial"/>
                      <w:b/>
                      <w:sz w:val="15"/>
                      <w:szCs w:val="15"/>
                    </w:rPr>
                  </w:pPr>
                  <w:r w:rsidRPr="001B4C86">
                    <w:rPr>
                      <w:rFonts w:cs="Arial"/>
                      <w:b/>
                      <w:sz w:val="15"/>
                      <w:szCs w:val="15"/>
                    </w:rPr>
                    <w:t xml:space="preserve">1 week </w:t>
                  </w:r>
                  <w:proofErr w:type="spellStart"/>
                  <w:r w:rsidRPr="001B4C86">
                    <w:rPr>
                      <w:rFonts w:cs="Arial"/>
                      <w:b/>
                      <w:sz w:val="15"/>
                      <w:szCs w:val="15"/>
                    </w:rPr>
                    <w:t>AmB</w:t>
                  </w:r>
                  <w:proofErr w:type="spellEnd"/>
                  <w:r w:rsidRPr="001B4C86">
                    <w:rPr>
                      <w:rFonts w:cs="Arial"/>
                      <w:b/>
                      <w:sz w:val="15"/>
                      <w:szCs w:val="15"/>
                    </w:rPr>
                    <w:t xml:space="preserve"> </w:t>
                  </w:r>
                </w:p>
                <w:p w14:paraId="6C4ABB00" w14:textId="584127C1" w:rsidR="0049294F" w:rsidRPr="001B4C86" w:rsidRDefault="0049294F" w:rsidP="0049294F">
                  <w:pPr>
                    <w:spacing w:after="0"/>
                    <w:jc w:val="center"/>
                    <w:rPr>
                      <w:rFonts w:cs="Arial"/>
                      <w:b/>
                      <w:sz w:val="15"/>
                      <w:szCs w:val="15"/>
                    </w:rPr>
                  </w:pPr>
                  <w:r w:rsidRPr="001B4C86">
                    <w:rPr>
                      <w:rFonts w:cs="Arial"/>
                      <w:b/>
                      <w:sz w:val="15"/>
                      <w:szCs w:val="15"/>
                    </w:rPr>
                    <w:t>+ 5FC</w:t>
                  </w:r>
                </w:p>
              </w:tc>
              <w:tc>
                <w:tcPr>
                  <w:tcW w:w="434" w:type="pct"/>
                  <w:tcBorders>
                    <w:top w:val="single" w:sz="4" w:space="0" w:color="auto"/>
                    <w:bottom w:val="single" w:sz="4" w:space="0" w:color="auto"/>
                  </w:tcBorders>
                  <w:shd w:val="clear" w:color="auto" w:fill="D9D9D9" w:themeFill="background1" w:themeFillShade="D9"/>
                  <w:vAlign w:val="center"/>
                </w:tcPr>
                <w:p w14:paraId="1523DCEF" w14:textId="77777777" w:rsidR="0049294F" w:rsidRPr="001B4C86" w:rsidRDefault="0049294F" w:rsidP="0049294F">
                  <w:pPr>
                    <w:spacing w:after="0"/>
                    <w:jc w:val="center"/>
                    <w:rPr>
                      <w:rFonts w:cs="Arial"/>
                      <w:b/>
                      <w:sz w:val="15"/>
                      <w:szCs w:val="15"/>
                    </w:rPr>
                  </w:pPr>
                  <w:r w:rsidRPr="001B4C86">
                    <w:rPr>
                      <w:rFonts w:cs="Arial"/>
                      <w:b/>
                      <w:sz w:val="15"/>
                      <w:szCs w:val="15"/>
                    </w:rPr>
                    <w:t xml:space="preserve">2 weeks </w:t>
                  </w:r>
                  <w:proofErr w:type="spellStart"/>
                  <w:r w:rsidRPr="001B4C86">
                    <w:rPr>
                      <w:rFonts w:cs="Arial"/>
                      <w:b/>
                      <w:sz w:val="15"/>
                      <w:szCs w:val="15"/>
                    </w:rPr>
                    <w:t>AmB</w:t>
                  </w:r>
                  <w:proofErr w:type="spellEnd"/>
                  <w:r w:rsidRPr="001B4C86">
                    <w:rPr>
                      <w:rFonts w:cs="Arial"/>
                      <w:b/>
                      <w:sz w:val="15"/>
                      <w:szCs w:val="15"/>
                    </w:rPr>
                    <w:t xml:space="preserve"> </w:t>
                  </w:r>
                </w:p>
                <w:p w14:paraId="1133B620" w14:textId="461855F1" w:rsidR="0049294F" w:rsidRPr="001B4C86" w:rsidRDefault="0049294F" w:rsidP="0049294F">
                  <w:pPr>
                    <w:adjustRightInd w:val="0"/>
                    <w:spacing w:after="0"/>
                    <w:jc w:val="center"/>
                    <w:rPr>
                      <w:rFonts w:cs="Arial"/>
                      <w:b/>
                      <w:sz w:val="15"/>
                      <w:szCs w:val="15"/>
                    </w:rPr>
                  </w:pPr>
                  <w:r w:rsidRPr="001B4C86">
                    <w:rPr>
                      <w:rFonts w:cs="Arial"/>
                      <w:b/>
                      <w:sz w:val="15"/>
                      <w:szCs w:val="15"/>
                    </w:rPr>
                    <w:t>+ FLU</w:t>
                  </w:r>
                </w:p>
              </w:tc>
              <w:tc>
                <w:tcPr>
                  <w:tcW w:w="434" w:type="pct"/>
                  <w:tcBorders>
                    <w:top w:val="single" w:sz="4" w:space="0" w:color="auto"/>
                    <w:bottom w:val="single" w:sz="4" w:space="0" w:color="auto"/>
                  </w:tcBorders>
                  <w:shd w:val="clear" w:color="auto" w:fill="D9D9D9" w:themeFill="background1" w:themeFillShade="D9"/>
                  <w:vAlign w:val="center"/>
                </w:tcPr>
                <w:p w14:paraId="07DEA6EC" w14:textId="77777777" w:rsidR="0049294F" w:rsidRPr="001B4C86" w:rsidRDefault="0049294F" w:rsidP="0049294F">
                  <w:pPr>
                    <w:adjustRightInd w:val="0"/>
                    <w:spacing w:after="0"/>
                    <w:jc w:val="center"/>
                    <w:rPr>
                      <w:rFonts w:cs="Arial"/>
                      <w:b/>
                      <w:sz w:val="15"/>
                      <w:szCs w:val="15"/>
                    </w:rPr>
                  </w:pPr>
                  <w:r w:rsidRPr="001B4C86">
                    <w:rPr>
                      <w:rFonts w:cs="Arial"/>
                      <w:b/>
                      <w:sz w:val="15"/>
                      <w:szCs w:val="15"/>
                    </w:rPr>
                    <w:t>p-value</w:t>
                  </w:r>
                </w:p>
                <w:p w14:paraId="03B64F2E" w14:textId="5D8671CC" w:rsidR="0049294F" w:rsidRPr="001B4C86" w:rsidRDefault="0049294F" w:rsidP="0049294F">
                  <w:pPr>
                    <w:adjustRightInd w:val="0"/>
                    <w:spacing w:after="0"/>
                    <w:jc w:val="center"/>
                    <w:rPr>
                      <w:rFonts w:cs="Arial"/>
                      <w:b/>
                      <w:sz w:val="15"/>
                      <w:szCs w:val="15"/>
                    </w:rPr>
                  </w:pPr>
                  <w:r w:rsidRPr="001B4C86">
                    <w:rPr>
                      <w:rFonts w:cs="Arial"/>
                      <w:b/>
                      <w:sz w:val="15"/>
                      <w:szCs w:val="15"/>
                    </w:rPr>
                    <w:t>(log-rank test*)</w:t>
                  </w:r>
                </w:p>
              </w:tc>
            </w:tr>
            <w:tr w:rsidR="001B4C86" w:rsidRPr="001B4C86" w14:paraId="5D9FEE03" w14:textId="77777777" w:rsidTr="005C0B7E">
              <w:trPr>
                <w:cantSplit/>
                <w:trHeight w:val="289"/>
                <w:jc w:val="center"/>
              </w:trPr>
              <w:tc>
                <w:tcPr>
                  <w:tcW w:w="659" w:type="pct"/>
                  <w:tcBorders>
                    <w:top w:val="nil"/>
                    <w:bottom w:val="nil"/>
                  </w:tcBorders>
                  <w:shd w:val="clear" w:color="auto" w:fill="FFFFFF"/>
                  <w:tcMar>
                    <w:left w:w="60" w:type="dxa"/>
                    <w:right w:w="60" w:type="dxa"/>
                  </w:tcMar>
                  <w:vAlign w:val="center"/>
                </w:tcPr>
                <w:p w14:paraId="4CBDA7AB" w14:textId="77777777" w:rsidR="005D01EA" w:rsidRPr="001B4C86" w:rsidRDefault="005D01EA" w:rsidP="005D01EA">
                  <w:pPr>
                    <w:adjustRightInd w:val="0"/>
                    <w:spacing w:after="0"/>
                    <w:jc w:val="center"/>
                    <w:rPr>
                      <w:rFonts w:cs="Arial"/>
                      <w:b/>
                      <w:sz w:val="15"/>
                      <w:szCs w:val="15"/>
                    </w:rPr>
                  </w:pPr>
                  <w:r w:rsidRPr="001B4C86">
                    <w:rPr>
                      <w:rFonts w:cs="Arial"/>
                      <w:b/>
                      <w:sz w:val="15"/>
                      <w:szCs w:val="15"/>
                    </w:rPr>
                    <w:t>1 year mortality</w:t>
                  </w:r>
                </w:p>
              </w:tc>
              <w:tc>
                <w:tcPr>
                  <w:tcW w:w="434" w:type="pct"/>
                  <w:tcBorders>
                    <w:top w:val="nil"/>
                    <w:bottom w:val="nil"/>
                  </w:tcBorders>
                  <w:shd w:val="clear" w:color="auto" w:fill="FFFFFF"/>
                  <w:tcMar>
                    <w:left w:w="60" w:type="dxa"/>
                    <w:right w:w="60" w:type="dxa"/>
                  </w:tcMar>
                  <w:vAlign w:val="center"/>
                </w:tcPr>
                <w:p w14:paraId="22D63C44" w14:textId="77777777" w:rsidR="005D01EA" w:rsidRPr="001B4C86" w:rsidRDefault="005D01EA" w:rsidP="005D01EA">
                  <w:pPr>
                    <w:adjustRightInd w:val="0"/>
                    <w:spacing w:after="0"/>
                    <w:jc w:val="center"/>
                    <w:rPr>
                      <w:rFonts w:cs="Arial"/>
                      <w:sz w:val="15"/>
                      <w:szCs w:val="15"/>
                      <w:highlight w:val="yellow"/>
                    </w:rPr>
                  </w:pPr>
                </w:p>
              </w:tc>
              <w:tc>
                <w:tcPr>
                  <w:tcW w:w="435" w:type="pct"/>
                  <w:tcBorders>
                    <w:top w:val="nil"/>
                    <w:bottom w:val="nil"/>
                  </w:tcBorders>
                  <w:shd w:val="clear" w:color="auto" w:fill="FFFFFF"/>
                  <w:tcMar>
                    <w:left w:w="60" w:type="dxa"/>
                    <w:right w:w="60" w:type="dxa"/>
                  </w:tcMar>
                  <w:vAlign w:val="center"/>
                </w:tcPr>
                <w:p w14:paraId="0FD2BAD2" w14:textId="77777777" w:rsidR="005D01EA" w:rsidRPr="001B4C86" w:rsidRDefault="005D01EA" w:rsidP="005D01EA">
                  <w:pPr>
                    <w:adjustRightInd w:val="0"/>
                    <w:spacing w:after="0"/>
                    <w:jc w:val="center"/>
                    <w:rPr>
                      <w:rFonts w:cs="Arial"/>
                      <w:sz w:val="15"/>
                      <w:szCs w:val="15"/>
                      <w:highlight w:val="yellow"/>
                    </w:rPr>
                  </w:pPr>
                </w:p>
              </w:tc>
              <w:tc>
                <w:tcPr>
                  <w:tcW w:w="434" w:type="pct"/>
                  <w:tcBorders>
                    <w:top w:val="nil"/>
                    <w:bottom w:val="nil"/>
                  </w:tcBorders>
                  <w:shd w:val="clear" w:color="auto" w:fill="FFFFFF"/>
                  <w:tcMar>
                    <w:left w:w="60" w:type="dxa"/>
                    <w:right w:w="60" w:type="dxa"/>
                  </w:tcMar>
                  <w:vAlign w:val="center"/>
                </w:tcPr>
                <w:p w14:paraId="2255D405" w14:textId="77777777" w:rsidR="005D01EA" w:rsidRPr="001B4C86" w:rsidRDefault="005D01EA" w:rsidP="005D01EA">
                  <w:pPr>
                    <w:adjustRightInd w:val="0"/>
                    <w:spacing w:after="0"/>
                    <w:jc w:val="center"/>
                    <w:rPr>
                      <w:rFonts w:cs="Arial"/>
                      <w:sz w:val="15"/>
                      <w:szCs w:val="15"/>
                      <w:highlight w:val="yellow"/>
                    </w:rPr>
                  </w:pPr>
                </w:p>
              </w:tc>
              <w:tc>
                <w:tcPr>
                  <w:tcW w:w="434" w:type="pct"/>
                  <w:tcBorders>
                    <w:top w:val="nil"/>
                    <w:bottom w:val="nil"/>
                  </w:tcBorders>
                  <w:shd w:val="clear" w:color="auto" w:fill="FFFFFF"/>
                  <w:vAlign w:val="center"/>
                </w:tcPr>
                <w:p w14:paraId="51B39377" w14:textId="77777777" w:rsidR="005D01EA" w:rsidRPr="001B4C86" w:rsidRDefault="005D01EA" w:rsidP="005D01EA">
                  <w:pPr>
                    <w:adjustRightInd w:val="0"/>
                    <w:spacing w:after="0"/>
                    <w:jc w:val="center"/>
                    <w:rPr>
                      <w:rFonts w:cs="Arial"/>
                      <w:sz w:val="15"/>
                      <w:szCs w:val="15"/>
                      <w:highlight w:val="yellow"/>
                    </w:rPr>
                  </w:pPr>
                </w:p>
              </w:tc>
              <w:tc>
                <w:tcPr>
                  <w:tcW w:w="434" w:type="pct"/>
                  <w:tcBorders>
                    <w:top w:val="nil"/>
                    <w:bottom w:val="nil"/>
                    <w:right w:val="single" w:sz="4" w:space="0" w:color="auto"/>
                  </w:tcBorders>
                  <w:shd w:val="clear" w:color="auto" w:fill="FFFFFF"/>
                  <w:vAlign w:val="center"/>
                </w:tcPr>
                <w:p w14:paraId="712D194A" w14:textId="77777777" w:rsidR="005D01EA" w:rsidRPr="001B4C86" w:rsidRDefault="005D01EA" w:rsidP="005D01EA">
                  <w:pPr>
                    <w:adjustRightInd w:val="0"/>
                    <w:spacing w:after="0"/>
                    <w:jc w:val="center"/>
                    <w:rPr>
                      <w:rFonts w:cs="Arial"/>
                      <w:sz w:val="15"/>
                      <w:szCs w:val="15"/>
                      <w:highlight w:val="yellow"/>
                    </w:rPr>
                  </w:pPr>
                </w:p>
              </w:tc>
              <w:tc>
                <w:tcPr>
                  <w:tcW w:w="434" w:type="pct"/>
                  <w:tcBorders>
                    <w:top w:val="nil"/>
                    <w:left w:val="single" w:sz="4" w:space="0" w:color="auto"/>
                    <w:bottom w:val="nil"/>
                  </w:tcBorders>
                  <w:shd w:val="clear" w:color="auto" w:fill="FFFFFF"/>
                  <w:tcMar>
                    <w:left w:w="60" w:type="dxa"/>
                    <w:right w:w="60" w:type="dxa"/>
                  </w:tcMar>
                  <w:vAlign w:val="center"/>
                </w:tcPr>
                <w:p w14:paraId="6A301CA6" w14:textId="77777777" w:rsidR="005D01EA" w:rsidRPr="001B4C86" w:rsidRDefault="005D01EA" w:rsidP="005D01EA">
                  <w:pPr>
                    <w:adjustRightInd w:val="0"/>
                    <w:spacing w:after="0"/>
                    <w:jc w:val="center"/>
                    <w:rPr>
                      <w:rFonts w:cs="Arial"/>
                      <w:sz w:val="15"/>
                      <w:szCs w:val="15"/>
                      <w:highlight w:val="yellow"/>
                    </w:rPr>
                  </w:pPr>
                </w:p>
              </w:tc>
              <w:tc>
                <w:tcPr>
                  <w:tcW w:w="434" w:type="pct"/>
                  <w:tcBorders>
                    <w:top w:val="nil"/>
                    <w:bottom w:val="nil"/>
                  </w:tcBorders>
                  <w:shd w:val="clear" w:color="auto" w:fill="FFFFFF"/>
                  <w:tcMar>
                    <w:left w:w="60" w:type="dxa"/>
                    <w:right w:w="60" w:type="dxa"/>
                  </w:tcMar>
                  <w:vAlign w:val="center"/>
                </w:tcPr>
                <w:p w14:paraId="52C7F461" w14:textId="77777777" w:rsidR="005D01EA" w:rsidRPr="001B4C86" w:rsidRDefault="005D01EA" w:rsidP="005D01EA">
                  <w:pPr>
                    <w:adjustRightInd w:val="0"/>
                    <w:spacing w:after="0"/>
                    <w:jc w:val="center"/>
                    <w:rPr>
                      <w:rFonts w:cs="Arial"/>
                      <w:sz w:val="15"/>
                      <w:szCs w:val="15"/>
                      <w:highlight w:val="yellow"/>
                    </w:rPr>
                  </w:pPr>
                </w:p>
              </w:tc>
              <w:tc>
                <w:tcPr>
                  <w:tcW w:w="434" w:type="pct"/>
                  <w:tcBorders>
                    <w:top w:val="nil"/>
                    <w:bottom w:val="nil"/>
                  </w:tcBorders>
                  <w:shd w:val="clear" w:color="auto" w:fill="FFFFFF"/>
                  <w:vAlign w:val="center"/>
                </w:tcPr>
                <w:p w14:paraId="5BF7128A" w14:textId="77777777" w:rsidR="005D01EA" w:rsidRPr="001B4C86" w:rsidRDefault="005D01EA" w:rsidP="005D01EA">
                  <w:pPr>
                    <w:adjustRightInd w:val="0"/>
                    <w:spacing w:after="0"/>
                    <w:jc w:val="center"/>
                    <w:rPr>
                      <w:rFonts w:cs="Arial"/>
                      <w:sz w:val="15"/>
                      <w:szCs w:val="15"/>
                      <w:highlight w:val="yellow"/>
                    </w:rPr>
                  </w:pPr>
                </w:p>
              </w:tc>
              <w:tc>
                <w:tcPr>
                  <w:tcW w:w="434" w:type="pct"/>
                  <w:tcBorders>
                    <w:top w:val="nil"/>
                    <w:bottom w:val="nil"/>
                  </w:tcBorders>
                  <w:shd w:val="clear" w:color="auto" w:fill="FFFFFF"/>
                  <w:vAlign w:val="center"/>
                </w:tcPr>
                <w:p w14:paraId="308F2827" w14:textId="77777777" w:rsidR="005D01EA" w:rsidRPr="001B4C86" w:rsidRDefault="005D01EA" w:rsidP="005D01EA">
                  <w:pPr>
                    <w:adjustRightInd w:val="0"/>
                    <w:spacing w:after="0"/>
                    <w:jc w:val="center"/>
                    <w:rPr>
                      <w:rFonts w:cs="Arial"/>
                      <w:sz w:val="15"/>
                      <w:szCs w:val="15"/>
                      <w:highlight w:val="yellow"/>
                    </w:rPr>
                  </w:pPr>
                </w:p>
              </w:tc>
              <w:tc>
                <w:tcPr>
                  <w:tcW w:w="434" w:type="pct"/>
                  <w:tcBorders>
                    <w:top w:val="nil"/>
                    <w:bottom w:val="nil"/>
                  </w:tcBorders>
                  <w:shd w:val="clear" w:color="auto" w:fill="FFFFFF"/>
                  <w:vAlign w:val="center"/>
                </w:tcPr>
                <w:p w14:paraId="7F0428D8" w14:textId="77777777" w:rsidR="005D01EA" w:rsidRPr="001B4C86" w:rsidRDefault="005D01EA" w:rsidP="005D01EA">
                  <w:pPr>
                    <w:adjustRightInd w:val="0"/>
                    <w:spacing w:after="0"/>
                    <w:jc w:val="center"/>
                    <w:rPr>
                      <w:rFonts w:cs="Arial"/>
                      <w:sz w:val="15"/>
                      <w:szCs w:val="15"/>
                      <w:highlight w:val="yellow"/>
                    </w:rPr>
                  </w:pPr>
                </w:p>
              </w:tc>
            </w:tr>
            <w:tr w:rsidR="001B4C86" w:rsidRPr="001B4C86" w14:paraId="0156EEB2" w14:textId="77777777" w:rsidTr="00FE141D">
              <w:trPr>
                <w:cantSplit/>
                <w:trHeight w:val="637"/>
                <w:jc w:val="center"/>
              </w:trPr>
              <w:tc>
                <w:tcPr>
                  <w:tcW w:w="659" w:type="pct"/>
                  <w:tcBorders>
                    <w:top w:val="nil"/>
                  </w:tcBorders>
                  <w:shd w:val="clear" w:color="auto" w:fill="FFFFFF"/>
                  <w:tcMar>
                    <w:left w:w="60" w:type="dxa"/>
                    <w:right w:w="60" w:type="dxa"/>
                  </w:tcMar>
                  <w:vAlign w:val="center"/>
                </w:tcPr>
                <w:p w14:paraId="5B7AD98E" w14:textId="77777777" w:rsidR="0049294F" w:rsidRPr="001B4C86" w:rsidRDefault="0049294F" w:rsidP="0049294F">
                  <w:pPr>
                    <w:adjustRightInd w:val="0"/>
                    <w:spacing w:after="0"/>
                    <w:jc w:val="center"/>
                    <w:rPr>
                      <w:noProof/>
                      <w:sz w:val="15"/>
                      <w:szCs w:val="15"/>
                    </w:rPr>
                  </w:pPr>
                  <w:r w:rsidRPr="001B4C86">
                    <w:rPr>
                      <w:noProof/>
                      <w:sz w:val="15"/>
                      <w:szCs w:val="15"/>
                    </w:rPr>
                    <w:t>No. of deaths</w:t>
                  </w:r>
                </w:p>
                <w:p w14:paraId="12F90F14" w14:textId="77777777" w:rsidR="0049294F" w:rsidRPr="001B4C86" w:rsidRDefault="0049294F" w:rsidP="0049294F">
                  <w:pPr>
                    <w:adjustRightInd w:val="0"/>
                    <w:spacing w:after="0"/>
                    <w:jc w:val="center"/>
                    <w:rPr>
                      <w:noProof/>
                      <w:sz w:val="15"/>
                      <w:szCs w:val="15"/>
                    </w:rPr>
                  </w:pPr>
                  <w:r w:rsidRPr="001B4C86">
                    <w:rPr>
                      <w:noProof/>
                      <w:sz w:val="15"/>
                      <w:szCs w:val="15"/>
                    </w:rPr>
                    <w:t xml:space="preserve">Probability of death </w:t>
                  </w:r>
                </w:p>
                <w:p w14:paraId="77C43AB8" w14:textId="77777777" w:rsidR="0049294F" w:rsidRPr="001B4C86" w:rsidRDefault="0049294F" w:rsidP="0049294F">
                  <w:pPr>
                    <w:adjustRightInd w:val="0"/>
                    <w:spacing w:after="0"/>
                    <w:jc w:val="center"/>
                    <w:rPr>
                      <w:rFonts w:cs="Arial"/>
                      <w:sz w:val="15"/>
                      <w:szCs w:val="15"/>
                    </w:rPr>
                  </w:pPr>
                  <w:r w:rsidRPr="001B4C86">
                    <w:rPr>
                      <w:noProof/>
                      <w:sz w:val="15"/>
                      <w:szCs w:val="15"/>
                    </w:rPr>
                    <w:t>(95% CI)</w:t>
                  </w:r>
                </w:p>
              </w:tc>
              <w:tc>
                <w:tcPr>
                  <w:tcW w:w="434" w:type="pct"/>
                  <w:tcBorders>
                    <w:top w:val="nil"/>
                  </w:tcBorders>
                  <w:shd w:val="clear" w:color="auto" w:fill="FFFFFF"/>
                  <w:tcMar>
                    <w:left w:w="60" w:type="dxa"/>
                    <w:right w:w="60" w:type="dxa"/>
                  </w:tcMar>
                  <w:vAlign w:val="center"/>
                </w:tcPr>
                <w:p w14:paraId="3E0D977C" w14:textId="77777777" w:rsidR="0049294F" w:rsidRPr="001B4C86" w:rsidRDefault="0049294F" w:rsidP="0049294F">
                  <w:pPr>
                    <w:adjustRightInd w:val="0"/>
                    <w:spacing w:after="0"/>
                    <w:jc w:val="center"/>
                    <w:rPr>
                      <w:rFonts w:cs="Arial"/>
                      <w:sz w:val="15"/>
                      <w:szCs w:val="15"/>
                    </w:rPr>
                  </w:pPr>
                  <w:r w:rsidRPr="001B4C86">
                    <w:rPr>
                      <w:rFonts w:cs="Arial"/>
                      <w:sz w:val="15"/>
                      <w:szCs w:val="15"/>
                    </w:rPr>
                    <w:t>33</w:t>
                  </w:r>
                </w:p>
                <w:p w14:paraId="2A794697" w14:textId="77777777" w:rsidR="0049294F" w:rsidRPr="001B4C86" w:rsidRDefault="0049294F" w:rsidP="0049294F">
                  <w:pPr>
                    <w:adjustRightInd w:val="0"/>
                    <w:spacing w:after="0"/>
                    <w:jc w:val="center"/>
                    <w:rPr>
                      <w:rFonts w:cs="Arial"/>
                      <w:sz w:val="15"/>
                      <w:szCs w:val="15"/>
                    </w:rPr>
                  </w:pPr>
                  <w:r w:rsidRPr="001B4C86">
                    <w:rPr>
                      <w:rFonts w:cs="Arial"/>
                      <w:sz w:val="15"/>
                      <w:szCs w:val="15"/>
                    </w:rPr>
                    <w:t>44.0</w:t>
                  </w:r>
                </w:p>
                <w:p w14:paraId="0995E0D5" w14:textId="77777777" w:rsidR="0049294F" w:rsidRPr="001B4C86" w:rsidRDefault="0049294F" w:rsidP="0049294F">
                  <w:pPr>
                    <w:adjustRightInd w:val="0"/>
                    <w:spacing w:after="0"/>
                    <w:jc w:val="center"/>
                    <w:rPr>
                      <w:rFonts w:cs="Arial"/>
                      <w:sz w:val="15"/>
                      <w:szCs w:val="15"/>
                    </w:rPr>
                  </w:pPr>
                  <w:r w:rsidRPr="001B4C86">
                    <w:rPr>
                      <w:rFonts w:cs="Arial"/>
                      <w:sz w:val="15"/>
                      <w:szCs w:val="15"/>
                    </w:rPr>
                    <w:t>(33.7 to 55.9)</w:t>
                  </w:r>
                </w:p>
              </w:tc>
              <w:tc>
                <w:tcPr>
                  <w:tcW w:w="435" w:type="pct"/>
                  <w:tcBorders>
                    <w:top w:val="nil"/>
                  </w:tcBorders>
                  <w:shd w:val="clear" w:color="auto" w:fill="FFFFFF"/>
                  <w:tcMar>
                    <w:left w:w="60" w:type="dxa"/>
                    <w:right w:w="60" w:type="dxa"/>
                  </w:tcMar>
                  <w:vAlign w:val="center"/>
                </w:tcPr>
                <w:p w14:paraId="55DEF3EA" w14:textId="77777777" w:rsidR="0049294F" w:rsidRPr="001B4C86" w:rsidRDefault="0049294F" w:rsidP="0049294F">
                  <w:pPr>
                    <w:adjustRightInd w:val="0"/>
                    <w:spacing w:after="0"/>
                    <w:jc w:val="center"/>
                    <w:rPr>
                      <w:rFonts w:cs="Arial"/>
                      <w:sz w:val="15"/>
                      <w:szCs w:val="15"/>
                    </w:rPr>
                  </w:pPr>
                  <w:r w:rsidRPr="001B4C86">
                    <w:rPr>
                      <w:rFonts w:cs="Arial"/>
                      <w:sz w:val="15"/>
                      <w:szCs w:val="15"/>
                    </w:rPr>
                    <w:t>22</w:t>
                  </w:r>
                </w:p>
                <w:p w14:paraId="65403C1C" w14:textId="77777777" w:rsidR="0049294F" w:rsidRPr="001B4C86" w:rsidRDefault="0049294F" w:rsidP="0049294F">
                  <w:pPr>
                    <w:adjustRightInd w:val="0"/>
                    <w:spacing w:after="0"/>
                    <w:jc w:val="center"/>
                    <w:rPr>
                      <w:rFonts w:cs="Arial"/>
                      <w:sz w:val="15"/>
                      <w:szCs w:val="15"/>
                    </w:rPr>
                  </w:pPr>
                  <w:r w:rsidRPr="001B4C86">
                    <w:rPr>
                      <w:rFonts w:cs="Arial"/>
                      <w:sz w:val="15"/>
                      <w:szCs w:val="15"/>
                    </w:rPr>
                    <w:t>61.1</w:t>
                  </w:r>
                </w:p>
                <w:p w14:paraId="6C4EF1C9" w14:textId="77777777" w:rsidR="0049294F" w:rsidRPr="001B4C86" w:rsidRDefault="0049294F" w:rsidP="0049294F">
                  <w:pPr>
                    <w:adjustRightInd w:val="0"/>
                    <w:spacing w:after="0"/>
                    <w:jc w:val="center"/>
                    <w:rPr>
                      <w:rFonts w:cs="Arial"/>
                      <w:sz w:val="15"/>
                      <w:szCs w:val="15"/>
                    </w:rPr>
                  </w:pPr>
                  <w:r w:rsidRPr="001B4C86">
                    <w:rPr>
                      <w:rFonts w:cs="Arial"/>
                      <w:sz w:val="15"/>
                      <w:szCs w:val="15"/>
                    </w:rPr>
                    <w:t>(45.8 to 76.7)</w:t>
                  </w:r>
                </w:p>
              </w:tc>
              <w:tc>
                <w:tcPr>
                  <w:tcW w:w="434" w:type="pct"/>
                  <w:tcBorders>
                    <w:top w:val="nil"/>
                  </w:tcBorders>
                  <w:shd w:val="clear" w:color="auto" w:fill="FFFFFF"/>
                  <w:tcMar>
                    <w:left w:w="60" w:type="dxa"/>
                    <w:right w:w="60" w:type="dxa"/>
                  </w:tcMar>
                  <w:vAlign w:val="center"/>
                </w:tcPr>
                <w:p w14:paraId="2B9E9046" w14:textId="77777777" w:rsidR="0049294F" w:rsidRPr="001B4C86" w:rsidRDefault="0049294F" w:rsidP="0049294F">
                  <w:pPr>
                    <w:adjustRightInd w:val="0"/>
                    <w:spacing w:after="0"/>
                    <w:jc w:val="center"/>
                    <w:rPr>
                      <w:rFonts w:cs="Arial"/>
                      <w:sz w:val="15"/>
                      <w:szCs w:val="15"/>
                    </w:rPr>
                  </w:pPr>
                  <w:r w:rsidRPr="001B4C86">
                    <w:rPr>
                      <w:rFonts w:cs="Arial"/>
                      <w:sz w:val="15"/>
                      <w:szCs w:val="15"/>
                    </w:rPr>
                    <w:t>11</w:t>
                  </w:r>
                </w:p>
                <w:p w14:paraId="7D11A8C4" w14:textId="77777777" w:rsidR="0049294F" w:rsidRPr="001B4C86" w:rsidRDefault="0049294F" w:rsidP="0049294F">
                  <w:pPr>
                    <w:adjustRightInd w:val="0"/>
                    <w:spacing w:after="0"/>
                    <w:jc w:val="center"/>
                    <w:rPr>
                      <w:rFonts w:cs="Arial"/>
                      <w:sz w:val="15"/>
                      <w:szCs w:val="15"/>
                    </w:rPr>
                  </w:pPr>
                  <w:r w:rsidRPr="001B4C86">
                    <w:rPr>
                      <w:rFonts w:cs="Arial"/>
                      <w:sz w:val="15"/>
                      <w:szCs w:val="15"/>
                    </w:rPr>
                    <w:t>27.5</w:t>
                  </w:r>
                </w:p>
                <w:p w14:paraId="29845127" w14:textId="77777777" w:rsidR="0049294F" w:rsidRPr="001B4C86" w:rsidRDefault="0049294F" w:rsidP="0049294F">
                  <w:pPr>
                    <w:adjustRightInd w:val="0"/>
                    <w:spacing w:after="0"/>
                    <w:jc w:val="center"/>
                    <w:rPr>
                      <w:rFonts w:cs="Arial"/>
                      <w:sz w:val="15"/>
                      <w:szCs w:val="15"/>
                    </w:rPr>
                  </w:pPr>
                  <w:r w:rsidRPr="001B4C86">
                    <w:rPr>
                      <w:rFonts w:cs="Arial"/>
                      <w:sz w:val="15"/>
                      <w:szCs w:val="15"/>
                    </w:rPr>
                    <w:t>(16.3 to 44.1)</w:t>
                  </w:r>
                </w:p>
              </w:tc>
              <w:tc>
                <w:tcPr>
                  <w:tcW w:w="434" w:type="pct"/>
                  <w:tcBorders>
                    <w:top w:val="nil"/>
                  </w:tcBorders>
                  <w:shd w:val="clear" w:color="auto" w:fill="FFFFFF"/>
                  <w:vAlign w:val="center"/>
                </w:tcPr>
                <w:p w14:paraId="542A1903" w14:textId="77777777" w:rsidR="0049294F" w:rsidRPr="001B4C86" w:rsidRDefault="0049294F" w:rsidP="0049294F">
                  <w:pPr>
                    <w:adjustRightInd w:val="0"/>
                    <w:spacing w:after="0"/>
                    <w:jc w:val="center"/>
                    <w:rPr>
                      <w:rFonts w:cs="Arial"/>
                      <w:sz w:val="15"/>
                      <w:szCs w:val="15"/>
                    </w:rPr>
                  </w:pPr>
                  <w:r w:rsidRPr="001B4C86">
                    <w:rPr>
                      <w:rFonts w:cs="Arial"/>
                      <w:sz w:val="15"/>
                      <w:szCs w:val="15"/>
                    </w:rPr>
                    <w:t>18</w:t>
                  </w:r>
                </w:p>
                <w:p w14:paraId="6E0E6BBE" w14:textId="77777777" w:rsidR="0049294F" w:rsidRPr="001B4C86" w:rsidRDefault="0049294F" w:rsidP="0049294F">
                  <w:pPr>
                    <w:adjustRightInd w:val="0"/>
                    <w:spacing w:after="0"/>
                    <w:jc w:val="center"/>
                    <w:rPr>
                      <w:rFonts w:cs="Arial"/>
                      <w:sz w:val="15"/>
                      <w:szCs w:val="15"/>
                    </w:rPr>
                  </w:pPr>
                  <w:r w:rsidRPr="001B4C86">
                    <w:rPr>
                      <w:rFonts w:cs="Arial"/>
                      <w:sz w:val="15"/>
                      <w:szCs w:val="15"/>
                    </w:rPr>
                    <w:t>50.0</w:t>
                  </w:r>
                </w:p>
                <w:p w14:paraId="3A484831" w14:textId="77777777" w:rsidR="0049294F" w:rsidRPr="001B4C86" w:rsidRDefault="0049294F" w:rsidP="0049294F">
                  <w:pPr>
                    <w:adjustRightInd w:val="0"/>
                    <w:spacing w:after="0"/>
                    <w:jc w:val="center"/>
                    <w:rPr>
                      <w:rFonts w:cs="Arial"/>
                      <w:sz w:val="15"/>
                      <w:szCs w:val="15"/>
                    </w:rPr>
                  </w:pPr>
                  <w:r w:rsidRPr="001B4C86">
                    <w:rPr>
                      <w:rFonts w:cs="Arial"/>
                      <w:sz w:val="15"/>
                      <w:szCs w:val="15"/>
                    </w:rPr>
                    <w:t>(35.1 to 67.1)</w:t>
                  </w:r>
                </w:p>
              </w:tc>
              <w:tc>
                <w:tcPr>
                  <w:tcW w:w="434" w:type="pct"/>
                  <w:tcBorders>
                    <w:top w:val="nil"/>
                    <w:right w:val="single" w:sz="4" w:space="0" w:color="auto"/>
                  </w:tcBorders>
                  <w:shd w:val="clear" w:color="auto" w:fill="FFFFFF"/>
                  <w:vAlign w:val="center"/>
                </w:tcPr>
                <w:p w14:paraId="0206567F" w14:textId="77777777" w:rsidR="0049294F" w:rsidRPr="001B4C86" w:rsidRDefault="0049294F" w:rsidP="0049294F">
                  <w:pPr>
                    <w:adjustRightInd w:val="0"/>
                    <w:spacing w:after="0"/>
                    <w:jc w:val="center"/>
                    <w:rPr>
                      <w:rFonts w:cs="Arial"/>
                      <w:sz w:val="15"/>
                      <w:szCs w:val="15"/>
                    </w:rPr>
                  </w:pPr>
                  <w:r w:rsidRPr="001B4C86">
                    <w:rPr>
                      <w:rFonts w:cs="Arial"/>
                      <w:sz w:val="15"/>
                      <w:szCs w:val="15"/>
                    </w:rPr>
                    <w:t>17</w:t>
                  </w:r>
                </w:p>
                <w:p w14:paraId="4830FFAE" w14:textId="77777777" w:rsidR="0049294F" w:rsidRPr="001B4C86" w:rsidRDefault="0049294F" w:rsidP="0049294F">
                  <w:pPr>
                    <w:adjustRightInd w:val="0"/>
                    <w:spacing w:after="0"/>
                    <w:jc w:val="center"/>
                    <w:rPr>
                      <w:rFonts w:cs="Arial"/>
                      <w:sz w:val="15"/>
                      <w:szCs w:val="15"/>
                    </w:rPr>
                  </w:pPr>
                  <w:r w:rsidRPr="001B4C86">
                    <w:rPr>
                      <w:rFonts w:cs="Arial"/>
                      <w:sz w:val="15"/>
                      <w:szCs w:val="15"/>
                    </w:rPr>
                    <w:t>46.0</w:t>
                  </w:r>
                </w:p>
                <w:p w14:paraId="1ACDA33D" w14:textId="77777777" w:rsidR="0049294F" w:rsidRPr="001B4C86" w:rsidRDefault="0049294F" w:rsidP="0049294F">
                  <w:pPr>
                    <w:adjustRightInd w:val="0"/>
                    <w:spacing w:after="0"/>
                    <w:jc w:val="center"/>
                    <w:rPr>
                      <w:rFonts w:cs="Arial"/>
                      <w:sz w:val="15"/>
                      <w:szCs w:val="15"/>
                    </w:rPr>
                  </w:pPr>
                  <w:r w:rsidRPr="001B4C86">
                    <w:rPr>
                      <w:rFonts w:cs="Arial"/>
                      <w:sz w:val="15"/>
                      <w:szCs w:val="15"/>
                    </w:rPr>
                    <w:t>(31.6 to 63.1)</w:t>
                  </w:r>
                </w:p>
              </w:tc>
              <w:tc>
                <w:tcPr>
                  <w:tcW w:w="434" w:type="pct"/>
                  <w:tcBorders>
                    <w:top w:val="nil"/>
                    <w:left w:val="single" w:sz="4" w:space="0" w:color="auto"/>
                  </w:tcBorders>
                  <w:shd w:val="clear" w:color="auto" w:fill="FFFFFF"/>
                  <w:tcMar>
                    <w:left w:w="60" w:type="dxa"/>
                    <w:right w:w="60" w:type="dxa"/>
                  </w:tcMar>
                </w:tcPr>
                <w:p w14:paraId="6EEA817C" w14:textId="77777777" w:rsidR="0049294F" w:rsidRPr="001B4C86" w:rsidRDefault="0049294F" w:rsidP="0049294F">
                  <w:pPr>
                    <w:adjustRightInd w:val="0"/>
                    <w:spacing w:after="0"/>
                    <w:jc w:val="center"/>
                    <w:rPr>
                      <w:rFonts w:cs="Arial"/>
                      <w:sz w:val="15"/>
                      <w:szCs w:val="15"/>
                    </w:rPr>
                  </w:pPr>
                  <w:r w:rsidRPr="001B4C86">
                    <w:rPr>
                      <w:rFonts w:cs="Arial"/>
                      <w:sz w:val="15"/>
                      <w:szCs w:val="15"/>
                    </w:rPr>
                    <w:t xml:space="preserve">0.83 </w:t>
                  </w:r>
                </w:p>
                <w:p w14:paraId="29239C64" w14:textId="359DADC5" w:rsidR="0049294F" w:rsidRPr="001B4C86" w:rsidRDefault="0049294F" w:rsidP="0049294F">
                  <w:pPr>
                    <w:adjustRightInd w:val="0"/>
                    <w:spacing w:after="0"/>
                    <w:jc w:val="center"/>
                    <w:rPr>
                      <w:rFonts w:cs="Arial"/>
                      <w:sz w:val="15"/>
                      <w:szCs w:val="15"/>
                    </w:rPr>
                  </w:pPr>
                  <w:r w:rsidRPr="001B4C86">
                    <w:rPr>
                      <w:rFonts w:cs="Arial"/>
                      <w:sz w:val="15"/>
                      <w:szCs w:val="15"/>
                    </w:rPr>
                    <w:t>(0.45 to 1.50)</w:t>
                  </w:r>
                </w:p>
              </w:tc>
              <w:tc>
                <w:tcPr>
                  <w:tcW w:w="434" w:type="pct"/>
                  <w:tcBorders>
                    <w:top w:val="nil"/>
                  </w:tcBorders>
                  <w:shd w:val="clear" w:color="auto" w:fill="FFFFFF"/>
                  <w:tcMar>
                    <w:left w:w="60" w:type="dxa"/>
                    <w:right w:w="60" w:type="dxa"/>
                  </w:tcMar>
                </w:tcPr>
                <w:p w14:paraId="32A78EB8" w14:textId="77777777" w:rsidR="0049294F" w:rsidRPr="001B4C86" w:rsidRDefault="0049294F" w:rsidP="0049294F">
                  <w:pPr>
                    <w:adjustRightInd w:val="0"/>
                    <w:spacing w:after="0"/>
                    <w:jc w:val="center"/>
                    <w:rPr>
                      <w:rFonts w:cs="Arial"/>
                      <w:sz w:val="15"/>
                      <w:szCs w:val="15"/>
                    </w:rPr>
                  </w:pPr>
                  <w:r w:rsidRPr="001B4C86">
                    <w:rPr>
                      <w:rFonts w:cs="Arial"/>
                      <w:sz w:val="15"/>
                      <w:szCs w:val="15"/>
                    </w:rPr>
                    <w:t xml:space="preserve">1.44 </w:t>
                  </w:r>
                </w:p>
                <w:p w14:paraId="0C97B107" w14:textId="32EDB96D" w:rsidR="0049294F" w:rsidRPr="001B4C86" w:rsidRDefault="0049294F" w:rsidP="0049294F">
                  <w:pPr>
                    <w:adjustRightInd w:val="0"/>
                    <w:spacing w:after="0"/>
                    <w:jc w:val="center"/>
                    <w:rPr>
                      <w:rFonts w:cs="Arial"/>
                      <w:sz w:val="15"/>
                      <w:szCs w:val="15"/>
                    </w:rPr>
                  </w:pPr>
                  <w:r w:rsidRPr="001B4C86">
                    <w:rPr>
                      <w:rFonts w:cs="Arial"/>
                      <w:sz w:val="15"/>
                      <w:szCs w:val="15"/>
                    </w:rPr>
                    <w:t>(0.75 to 2.76)</w:t>
                  </w:r>
                </w:p>
              </w:tc>
              <w:tc>
                <w:tcPr>
                  <w:tcW w:w="434" w:type="pct"/>
                  <w:tcBorders>
                    <w:top w:val="nil"/>
                  </w:tcBorders>
                  <w:shd w:val="clear" w:color="auto" w:fill="FFFFFF"/>
                </w:tcPr>
                <w:p w14:paraId="0E21A6B9" w14:textId="77777777" w:rsidR="0049294F" w:rsidRPr="001B4C86" w:rsidRDefault="0049294F" w:rsidP="0049294F">
                  <w:pPr>
                    <w:adjustRightInd w:val="0"/>
                    <w:spacing w:after="0"/>
                    <w:jc w:val="center"/>
                    <w:rPr>
                      <w:rFonts w:cs="Arial"/>
                      <w:sz w:val="15"/>
                      <w:szCs w:val="15"/>
                    </w:rPr>
                  </w:pPr>
                  <w:r w:rsidRPr="001B4C86">
                    <w:rPr>
                      <w:rFonts w:cs="Arial"/>
                      <w:sz w:val="15"/>
                      <w:szCs w:val="15"/>
                    </w:rPr>
                    <w:t xml:space="preserve">0.53 </w:t>
                  </w:r>
                </w:p>
                <w:p w14:paraId="69140D55" w14:textId="6CEB89B9" w:rsidR="0049294F" w:rsidRPr="001B4C86" w:rsidRDefault="0049294F" w:rsidP="0049294F">
                  <w:pPr>
                    <w:adjustRightInd w:val="0"/>
                    <w:spacing w:after="0"/>
                    <w:jc w:val="center"/>
                    <w:rPr>
                      <w:rFonts w:cs="Arial"/>
                      <w:sz w:val="15"/>
                      <w:szCs w:val="15"/>
                    </w:rPr>
                  </w:pPr>
                  <w:r w:rsidRPr="001B4C86">
                    <w:rPr>
                      <w:rFonts w:cs="Arial"/>
                      <w:sz w:val="15"/>
                      <w:szCs w:val="15"/>
                    </w:rPr>
                    <w:t>(0.25 to 1.13)</w:t>
                  </w:r>
                </w:p>
              </w:tc>
              <w:tc>
                <w:tcPr>
                  <w:tcW w:w="434" w:type="pct"/>
                  <w:tcBorders>
                    <w:top w:val="nil"/>
                  </w:tcBorders>
                  <w:shd w:val="clear" w:color="auto" w:fill="FFFFFF"/>
                </w:tcPr>
                <w:p w14:paraId="7D067BC8" w14:textId="77777777" w:rsidR="0049294F" w:rsidRPr="001B4C86" w:rsidRDefault="0049294F" w:rsidP="0049294F">
                  <w:pPr>
                    <w:adjustRightInd w:val="0"/>
                    <w:spacing w:after="0"/>
                    <w:jc w:val="center"/>
                    <w:rPr>
                      <w:rFonts w:cs="Arial"/>
                      <w:sz w:val="15"/>
                      <w:szCs w:val="15"/>
                    </w:rPr>
                  </w:pPr>
                  <w:r w:rsidRPr="001B4C86">
                    <w:rPr>
                      <w:rFonts w:cs="Arial"/>
                      <w:sz w:val="15"/>
                      <w:szCs w:val="15"/>
                    </w:rPr>
                    <w:t xml:space="preserve">1.05 </w:t>
                  </w:r>
                </w:p>
                <w:p w14:paraId="4314803D" w14:textId="63C5D9BF" w:rsidR="0049294F" w:rsidRPr="001B4C86" w:rsidRDefault="0049294F" w:rsidP="0049294F">
                  <w:pPr>
                    <w:adjustRightInd w:val="0"/>
                    <w:spacing w:after="0"/>
                    <w:jc w:val="center"/>
                    <w:rPr>
                      <w:rFonts w:cs="Arial"/>
                      <w:sz w:val="15"/>
                      <w:szCs w:val="15"/>
                    </w:rPr>
                  </w:pPr>
                  <w:r w:rsidRPr="001B4C86">
                    <w:rPr>
                      <w:rFonts w:cs="Arial"/>
                      <w:sz w:val="15"/>
                      <w:szCs w:val="15"/>
                    </w:rPr>
                    <w:t>(0.53 to 2.06)</w:t>
                  </w:r>
                </w:p>
              </w:tc>
              <w:tc>
                <w:tcPr>
                  <w:tcW w:w="434" w:type="pct"/>
                  <w:tcBorders>
                    <w:top w:val="nil"/>
                  </w:tcBorders>
                  <w:shd w:val="clear" w:color="auto" w:fill="FFFFFF"/>
                </w:tcPr>
                <w:p w14:paraId="048870AA" w14:textId="383F665A" w:rsidR="0049294F" w:rsidRPr="001B4C86" w:rsidRDefault="0049294F" w:rsidP="0049294F">
                  <w:pPr>
                    <w:adjustRightInd w:val="0"/>
                    <w:spacing w:after="0"/>
                    <w:jc w:val="center"/>
                    <w:rPr>
                      <w:rFonts w:cs="Arial"/>
                      <w:sz w:val="15"/>
                      <w:szCs w:val="15"/>
                    </w:rPr>
                  </w:pPr>
                  <w:r w:rsidRPr="001B4C86">
                    <w:rPr>
                      <w:rFonts w:cs="Arial"/>
                      <w:sz w:val="15"/>
                      <w:szCs w:val="15"/>
                    </w:rPr>
                    <w:t>0.04</w:t>
                  </w:r>
                </w:p>
              </w:tc>
            </w:tr>
            <w:tr w:rsidR="001B4C86" w:rsidRPr="001B4C86" w14:paraId="1A46676D" w14:textId="77777777" w:rsidTr="005C0B7E">
              <w:trPr>
                <w:cantSplit/>
                <w:trHeight w:val="289"/>
                <w:jc w:val="center"/>
              </w:trPr>
              <w:tc>
                <w:tcPr>
                  <w:tcW w:w="659" w:type="pct"/>
                  <w:shd w:val="clear" w:color="auto" w:fill="F2F2F2" w:themeFill="background1" w:themeFillShade="F2"/>
                  <w:tcMar>
                    <w:left w:w="60" w:type="dxa"/>
                    <w:right w:w="60" w:type="dxa"/>
                  </w:tcMar>
                  <w:vAlign w:val="center"/>
                </w:tcPr>
                <w:p w14:paraId="7F0FDA55" w14:textId="77777777" w:rsidR="005D01EA" w:rsidRPr="001B4C86" w:rsidRDefault="005D01EA" w:rsidP="005D01EA">
                  <w:pPr>
                    <w:adjustRightInd w:val="0"/>
                    <w:spacing w:after="0"/>
                    <w:jc w:val="center"/>
                    <w:rPr>
                      <w:rFonts w:cs="Arial"/>
                      <w:b/>
                      <w:sz w:val="15"/>
                      <w:szCs w:val="15"/>
                    </w:rPr>
                  </w:pPr>
                  <w:r w:rsidRPr="001B4C86">
                    <w:rPr>
                      <w:rFonts w:cs="Arial"/>
                      <w:b/>
                      <w:sz w:val="15"/>
                      <w:szCs w:val="15"/>
                    </w:rPr>
                    <w:t>6 month mortality</w:t>
                  </w:r>
                </w:p>
              </w:tc>
              <w:tc>
                <w:tcPr>
                  <w:tcW w:w="434" w:type="pct"/>
                  <w:shd w:val="clear" w:color="auto" w:fill="F2F2F2" w:themeFill="background1" w:themeFillShade="F2"/>
                  <w:tcMar>
                    <w:left w:w="60" w:type="dxa"/>
                    <w:right w:w="60" w:type="dxa"/>
                  </w:tcMar>
                  <w:vAlign w:val="center"/>
                </w:tcPr>
                <w:p w14:paraId="1E37ED83" w14:textId="77777777" w:rsidR="005D01EA" w:rsidRPr="001B4C86" w:rsidRDefault="005D01EA" w:rsidP="005D01EA">
                  <w:pPr>
                    <w:adjustRightInd w:val="0"/>
                    <w:spacing w:after="0"/>
                    <w:jc w:val="center"/>
                    <w:rPr>
                      <w:rFonts w:cs="Arial"/>
                      <w:sz w:val="15"/>
                      <w:szCs w:val="15"/>
                      <w:highlight w:val="yellow"/>
                    </w:rPr>
                  </w:pPr>
                </w:p>
              </w:tc>
              <w:tc>
                <w:tcPr>
                  <w:tcW w:w="435" w:type="pct"/>
                  <w:shd w:val="clear" w:color="auto" w:fill="F2F2F2" w:themeFill="background1" w:themeFillShade="F2"/>
                  <w:tcMar>
                    <w:left w:w="60" w:type="dxa"/>
                    <w:right w:w="60" w:type="dxa"/>
                  </w:tcMar>
                  <w:vAlign w:val="center"/>
                </w:tcPr>
                <w:p w14:paraId="629F788E" w14:textId="77777777" w:rsidR="005D01EA" w:rsidRPr="001B4C86" w:rsidRDefault="005D01EA" w:rsidP="005D01EA">
                  <w:pPr>
                    <w:adjustRightInd w:val="0"/>
                    <w:spacing w:after="0"/>
                    <w:jc w:val="center"/>
                    <w:rPr>
                      <w:rFonts w:cs="Arial"/>
                      <w:sz w:val="15"/>
                      <w:szCs w:val="15"/>
                      <w:highlight w:val="yellow"/>
                    </w:rPr>
                  </w:pPr>
                </w:p>
              </w:tc>
              <w:tc>
                <w:tcPr>
                  <w:tcW w:w="434" w:type="pct"/>
                  <w:shd w:val="clear" w:color="auto" w:fill="F2F2F2" w:themeFill="background1" w:themeFillShade="F2"/>
                  <w:tcMar>
                    <w:left w:w="60" w:type="dxa"/>
                    <w:right w:w="60" w:type="dxa"/>
                  </w:tcMar>
                  <w:vAlign w:val="center"/>
                </w:tcPr>
                <w:p w14:paraId="1AE0C1BF" w14:textId="77777777" w:rsidR="005D01EA" w:rsidRPr="001B4C86" w:rsidRDefault="005D01EA" w:rsidP="005D01EA">
                  <w:pPr>
                    <w:adjustRightInd w:val="0"/>
                    <w:spacing w:after="0"/>
                    <w:jc w:val="center"/>
                    <w:rPr>
                      <w:rFonts w:cs="Arial"/>
                      <w:sz w:val="15"/>
                      <w:szCs w:val="15"/>
                      <w:highlight w:val="yellow"/>
                    </w:rPr>
                  </w:pPr>
                </w:p>
              </w:tc>
              <w:tc>
                <w:tcPr>
                  <w:tcW w:w="434" w:type="pct"/>
                  <w:shd w:val="clear" w:color="auto" w:fill="F2F2F2" w:themeFill="background1" w:themeFillShade="F2"/>
                  <w:vAlign w:val="center"/>
                </w:tcPr>
                <w:p w14:paraId="3B756DEA" w14:textId="77777777" w:rsidR="005D01EA" w:rsidRPr="001B4C86" w:rsidRDefault="005D01EA" w:rsidP="005D01EA">
                  <w:pPr>
                    <w:adjustRightInd w:val="0"/>
                    <w:spacing w:after="0"/>
                    <w:jc w:val="center"/>
                    <w:rPr>
                      <w:rFonts w:cs="Arial"/>
                      <w:sz w:val="15"/>
                      <w:szCs w:val="15"/>
                      <w:highlight w:val="yellow"/>
                    </w:rPr>
                  </w:pPr>
                </w:p>
              </w:tc>
              <w:tc>
                <w:tcPr>
                  <w:tcW w:w="434" w:type="pct"/>
                  <w:tcBorders>
                    <w:right w:val="single" w:sz="4" w:space="0" w:color="auto"/>
                  </w:tcBorders>
                  <w:shd w:val="clear" w:color="auto" w:fill="F2F2F2" w:themeFill="background1" w:themeFillShade="F2"/>
                  <w:vAlign w:val="center"/>
                </w:tcPr>
                <w:p w14:paraId="23068652" w14:textId="77777777" w:rsidR="005D01EA" w:rsidRPr="001B4C86" w:rsidRDefault="005D01EA" w:rsidP="005D01EA">
                  <w:pPr>
                    <w:adjustRightInd w:val="0"/>
                    <w:spacing w:after="0"/>
                    <w:jc w:val="center"/>
                    <w:rPr>
                      <w:rFonts w:cs="Arial"/>
                      <w:sz w:val="15"/>
                      <w:szCs w:val="15"/>
                      <w:highlight w:val="yellow"/>
                    </w:rPr>
                  </w:pPr>
                </w:p>
              </w:tc>
              <w:tc>
                <w:tcPr>
                  <w:tcW w:w="434" w:type="pct"/>
                  <w:tcBorders>
                    <w:left w:val="single" w:sz="4" w:space="0" w:color="auto"/>
                  </w:tcBorders>
                  <w:shd w:val="clear" w:color="auto" w:fill="F2F2F2" w:themeFill="background1" w:themeFillShade="F2"/>
                  <w:tcMar>
                    <w:left w:w="60" w:type="dxa"/>
                    <w:right w:w="60" w:type="dxa"/>
                  </w:tcMar>
                  <w:vAlign w:val="center"/>
                </w:tcPr>
                <w:p w14:paraId="4C5BC93C" w14:textId="77777777" w:rsidR="005D01EA" w:rsidRPr="001B4C86" w:rsidRDefault="005D01EA" w:rsidP="005D01EA">
                  <w:pPr>
                    <w:adjustRightInd w:val="0"/>
                    <w:spacing w:after="0"/>
                    <w:jc w:val="center"/>
                    <w:rPr>
                      <w:rFonts w:cs="Arial"/>
                      <w:sz w:val="15"/>
                      <w:szCs w:val="15"/>
                      <w:highlight w:val="yellow"/>
                    </w:rPr>
                  </w:pPr>
                </w:p>
              </w:tc>
              <w:tc>
                <w:tcPr>
                  <w:tcW w:w="434" w:type="pct"/>
                  <w:shd w:val="clear" w:color="auto" w:fill="F2F2F2" w:themeFill="background1" w:themeFillShade="F2"/>
                  <w:tcMar>
                    <w:left w:w="60" w:type="dxa"/>
                    <w:right w:w="60" w:type="dxa"/>
                  </w:tcMar>
                  <w:vAlign w:val="center"/>
                </w:tcPr>
                <w:p w14:paraId="7843EDA4" w14:textId="77777777" w:rsidR="005D01EA" w:rsidRPr="001B4C86" w:rsidRDefault="005D01EA" w:rsidP="005D01EA">
                  <w:pPr>
                    <w:adjustRightInd w:val="0"/>
                    <w:spacing w:after="0"/>
                    <w:jc w:val="center"/>
                    <w:rPr>
                      <w:rFonts w:cs="Arial"/>
                      <w:sz w:val="15"/>
                      <w:szCs w:val="15"/>
                      <w:highlight w:val="yellow"/>
                    </w:rPr>
                  </w:pPr>
                </w:p>
              </w:tc>
              <w:tc>
                <w:tcPr>
                  <w:tcW w:w="434" w:type="pct"/>
                  <w:shd w:val="clear" w:color="auto" w:fill="F2F2F2" w:themeFill="background1" w:themeFillShade="F2"/>
                  <w:vAlign w:val="center"/>
                </w:tcPr>
                <w:p w14:paraId="6100AD87" w14:textId="77777777" w:rsidR="005D01EA" w:rsidRPr="001B4C86" w:rsidRDefault="005D01EA" w:rsidP="005D01EA">
                  <w:pPr>
                    <w:adjustRightInd w:val="0"/>
                    <w:spacing w:after="0"/>
                    <w:jc w:val="center"/>
                    <w:rPr>
                      <w:rFonts w:cs="Arial"/>
                      <w:sz w:val="15"/>
                      <w:szCs w:val="15"/>
                      <w:highlight w:val="yellow"/>
                    </w:rPr>
                  </w:pPr>
                </w:p>
              </w:tc>
              <w:tc>
                <w:tcPr>
                  <w:tcW w:w="434" w:type="pct"/>
                  <w:shd w:val="clear" w:color="auto" w:fill="F2F2F2" w:themeFill="background1" w:themeFillShade="F2"/>
                  <w:vAlign w:val="center"/>
                </w:tcPr>
                <w:p w14:paraId="720E051B" w14:textId="77777777" w:rsidR="005D01EA" w:rsidRPr="001B4C86" w:rsidRDefault="005D01EA" w:rsidP="005D01EA">
                  <w:pPr>
                    <w:adjustRightInd w:val="0"/>
                    <w:spacing w:after="0"/>
                    <w:jc w:val="center"/>
                    <w:rPr>
                      <w:rFonts w:cs="Arial"/>
                      <w:sz w:val="15"/>
                      <w:szCs w:val="15"/>
                      <w:highlight w:val="yellow"/>
                    </w:rPr>
                  </w:pPr>
                </w:p>
              </w:tc>
              <w:tc>
                <w:tcPr>
                  <w:tcW w:w="434" w:type="pct"/>
                  <w:shd w:val="clear" w:color="auto" w:fill="F2F2F2" w:themeFill="background1" w:themeFillShade="F2"/>
                  <w:vAlign w:val="center"/>
                </w:tcPr>
                <w:p w14:paraId="1EE6E0AF" w14:textId="77777777" w:rsidR="005D01EA" w:rsidRPr="001B4C86" w:rsidRDefault="005D01EA" w:rsidP="005D01EA">
                  <w:pPr>
                    <w:adjustRightInd w:val="0"/>
                    <w:spacing w:after="0"/>
                    <w:jc w:val="center"/>
                    <w:rPr>
                      <w:rFonts w:cs="Arial"/>
                      <w:sz w:val="15"/>
                      <w:szCs w:val="15"/>
                      <w:highlight w:val="yellow"/>
                    </w:rPr>
                  </w:pPr>
                </w:p>
              </w:tc>
            </w:tr>
            <w:tr w:rsidR="001B4C86" w:rsidRPr="001B4C86" w14:paraId="719431AE" w14:textId="77777777" w:rsidTr="00FE141D">
              <w:trPr>
                <w:cantSplit/>
                <w:trHeight w:val="289"/>
                <w:jc w:val="center"/>
              </w:trPr>
              <w:tc>
                <w:tcPr>
                  <w:tcW w:w="659" w:type="pct"/>
                  <w:shd w:val="clear" w:color="auto" w:fill="F2F2F2" w:themeFill="background1" w:themeFillShade="F2"/>
                  <w:tcMar>
                    <w:left w:w="60" w:type="dxa"/>
                    <w:right w:w="60" w:type="dxa"/>
                  </w:tcMar>
                  <w:vAlign w:val="center"/>
                </w:tcPr>
                <w:p w14:paraId="19FA8FE0" w14:textId="77777777" w:rsidR="0049294F" w:rsidRPr="001B4C86" w:rsidRDefault="0049294F" w:rsidP="0049294F">
                  <w:pPr>
                    <w:adjustRightInd w:val="0"/>
                    <w:spacing w:after="0"/>
                    <w:jc w:val="center"/>
                    <w:rPr>
                      <w:noProof/>
                      <w:sz w:val="15"/>
                      <w:szCs w:val="15"/>
                    </w:rPr>
                  </w:pPr>
                  <w:r w:rsidRPr="001B4C86">
                    <w:rPr>
                      <w:noProof/>
                      <w:sz w:val="15"/>
                      <w:szCs w:val="15"/>
                    </w:rPr>
                    <w:t>No. of deaths</w:t>
                  </w:r>
                </w:p>
                <w:p w14:paraId="3C6E3E98" w14:textId="77777777" w:rsidR="0049294F" w:rsidRPr="001B4C86" w:rsidRDefault="0049294F" w:rsidP="0049294F">
                  <w:pPr>
                    <w:adjustRightInd w:val="0"/>
                    <w:spacing w:after="0"/>
                    <w:jc w:val="center"/>
                    <w:rPr>
                      <w:noProof/>
                      <w:sz w:val="15"/>
                      <w:szCs w:val="15"/>
                    </w:rPr>
                  </w:pPr>
                  <w:r w:rsidRPr="001B4C86">
                    <w:rPr>
                      <w:noProof/>
                      <w:sz w:val="15"/>
                      <w:szCs w:val="15"/>
                    </w:rPr>
                    <w:t xml:space="preserve">Probability of death </w:t>
                  </w:r>
                </w:p>
                <w:p w14:paraId="6C642C3A" w14:textId="77777777" w:rsidR="0049294F" w:rsidRPr="001B4C86" w:rsidRDefault="0049294F" w:rsidP="0049294F">
                  <w:pPr>
                    <w:adjustRightInd w:val="0"/>
                    <w:spacing w:after="0"/>
                    <w:jc w:val="center"/>
                    <w:rPr>
                      <w:rFonts w:cs="Arial"/>
                      <w:b/>
                      <w:sz w:val="15"/>
                      <w:szCs w:val="15"/>
                    </w:rPr>
                  </w:pPr>
                  <w:r w:rsidRPr="001B4C86">
                    <w:rPr>
                      <w:noProof/>
                      <w:sz w:val="15"/>
                      <w:szCs w:val="15"/>
                    </w:rPr>
                    <w:t>(95% CI)</w:t>
                  </w:r>
                </w:p>
              </w:tc>
              <w:tc>
                <w:tcPr>
                  <w:tcW w:w="434" w:type="pct"/>
                  <w:shd w:val="clear" w:color="auto" w:fill="F2F2F2" w:themeFill="background1" w:themeFillShade="F2"/>
                  <w:tcMar>
                    <w:left w:w="60" w:type="dxa"/>
                    <w:right w:w="60" w:type="dxa"/>
                  </w:tcMar>
                  <w:vAlign w:val="center"/>
                </w:tcPr>
                <w:p w14:paraId="5A019332" w14:textId="77777777" w:rsidR="0049294F" w:rsidRPr="001B4C86" w:rsidRDefault="0049294F" w:rsidP="0049294F">
                  <w:pPr>
                    <w:adjustRightInd w:val="0"/>
                    <w:spacing w:after="0"/>
                    <w:jc w:val="center"/>
                    <w:rPr>
                      <w:rFonts w:cs="Arial"/>
                      <w:sz w:val="15"/>
                      <w:szCs w:val="15"/>
                    </w:rPr>
                  </w:pPr>
                  <w:r w:rsidRPr="001B4C86">
                    <w:rPr>
                      <w:rFonts w:cs="Arial"/>
                      <w:sz w:val="15"/>
                      <w:szCs w:val="15"/>
                    </w:rPr>
                    <w:t>27</w:t>
                  </w:r>
                </w:p>
                <w:p w14:paraId="0978D52F" w14:textId="77777777" w:rsidR="0049294F" w:rsidRPr="001B4C86" w:rsidRDefault="0049294F" w:rsidP="0049294F">
                  <w:pPr>
                    <w:adjustRightInd w:val="0"/>
                    <w:spacing w:after="0"/>
                    <w:jc w:val="center"/>
                    <w:rPr>
                      <w:rFonts w:cs="Arial"/>
                      <w:sz w:val="15"/>
                      <w:szCs w:val="15"/>
                    </w:rPr>
                  </w:pPr>
                  <w:r w:rsidRPr="001B4C86">
                    <w:rPr>
                      <w:rFonts w:cs="Arial"/>
                      <w:sz w:val="15"/>
                      <w:szCs w:val="15"/>
                    </w:rPr>
                    <w:t>36.0</w:t>
                  </w:r>
                </w:p>
                <w:p w14:paraId="7B9734C0" w14:textId="77777777" w:rsidR="0049294F" w:rsidRPr="001B4C86" w:rsidRDefault="0049294F" w:rsidP="0049294F">
                  <w:pPr>
                    <w:adjustRightInd w:val="0"/>
                    <w:spacing w:after="0"/>
                    <w:jc w:val="center"/>
                    <w:rPr>
                      <w:rFonts w:cs="Arial"/>
                      <w:sz w:val="15"/>
                      <w:szCs w:val="15"/>
                      <w:highlight w:val="yellow"/>
                    </w:rPr>
                  </w:pPr>
                  <w:r w:rsidRPr="001B4C86">
                    <w:rPr>
                      <w:rFonts w:cs="Arial"/>
                      <w:sz w:val="15"/>
                      <w:szCs w:val="15"/>
                    </w:rPr>
                    <w:t>(26.3 to 47.9)</w:t>
                  </w:r>
                </w:p>
              </w:tc>
              <w:tc>
                <w:tcPr>
                  <w:tcW w:w="435" w:type="pct"/>
                  <w:shd w:val="clear" w:color="auto" w:fill="F2F2F2" w:themeFill="background1" w:themeFillShade="F2"/>
                  <w:tcMar>
                    <w:left w:w="60" w:type="dxa"/>
                    <w:right w:w="60" w:type="dxa"/>
                  </w:tcMar>
                  <w:vAlign w:val="center"/>
                </w:tcPr>
                <w:p w14:paraId="72CFB14B" w14:textId="77777777" w:rsidR="0049294F" w:rsidRPr="001B4C86" w:rsidRDefault="0049294F" w:rsidP="0049294F">
                  <w:pPr>
                    <w:adjustRightInd w:val="0"/>
                    <w:spacing w:after="0"/>
                    <w:jc w:val="center"/>
                    <w:rPr>
                      <w:rFonts w:cs="Arial"/>
                      <w:sz w:val="15"/>
                      <w:szCs w:val="15"/>
                    </w:rPr>
                  </w:pPr>
                  <w:r w:rsidRPr="001B4C86">
                    <w:rPr>
                      <w:rFonts w:cs="Arial"/>
                      <w:sz w:val="15"/>
                      <w:szCs w:val="15"/>
                    </w:rPr>
                    <w:t>20</w:t>
                  </w:r>
                </w:p>
                <w:p w14:paraId="24D17AB7" w14:textId="77777777" w:rsidR="0049294F" w:rsidRPr="001B4C86" w:rsidRDefault="0049294F" w:rsidP="0049294F">
                  <w:pPr>
                    <w:adjustRightInd w:val="0"/>
                    <w:spacing w:after="0"/>
                    <w:jc w:val="center"/>
                    <w:rPr>
                      <w:rFonts w:cs="Arial"/>
                      <w:sz w:val="15"/>
                      <w:szCs w:val="15"/>
                    </w:rPr>
                  </w:pPr>
                  <w:r w:rsidRPr="001B4C86">
                    <w:rPr>
                      <w:rFonts w:cs="Arial"/>
                      <w:sz w:val="15"/>
                      <w:szCs w:val="15"/>
                    </w:rPr>
                    <w:t>55.6</w:t>
                  </w:r>
                </w:p>
                <w:p w14:paraId="135D8AB0" w14:textId="77777777" w:rsidR="0049294F" w:rsidRPr="001B4C86" w:rsidRDefault="0049294F" w:rsidP="0049294F">
                  <w:pPr>
                    <w:adjustRightInd w:val="0"/>
                    <w:spacing w:after="0"/>
                    <w:jc w:val="center"/>
                    <w:rPr>
                      <w:rFonts w:cs="Arial"/>
                      <w:sz w:val="15"/>
                      <w:szCs w:val="15"/>
                      <w:highlight w:val="yellow"/>
                    </w:rPr>
                  </w:pPr>
                  <w:r w:rsidRPr="001B4C86">
                    <w:rPr>
                      <w:rFonts w:cs="Arial"/>
                      <w:sz w:val="15"/>
                      <w:szCs w:val="15"/>
                    </w:rPr>
                    <w:t>(40.4 to 72.0)</w:t>
                  </w:r>
                </w:p>
              </w:tc>
              <w:tc>
                <w:tcPr>
                  <w:tcW w:w="434" w:type="pct"/>
                  <w:shd w:val="clear" w:color="auto" w:fill="F2F2F2" w:themeFill="background1" w:themeFillShade="F2"/>
                  <w:tcMar>
                    <w:left w:w="60" w:type="dxa"/>
                    <w:right w:w="60" w:type="dxa"/>
                  </w:tcMar>
                  <w:vAlign w:val="center"/>
                </w:tcPr>
                <w:p w14:paraId="069E2B01" w14:textId="77777777" w:rsidR="0049294F" w:rsidRPr="001B4C86" w:rsidRDefault="0049294F" w:rsidP="0049294F">
                  <w:pPr>
                    <w:adjustRightInd w:val="0"/>
                    <w:spacing w:after="0"/>
                    <w:jc w:val="center"/>
                    <w:rPr>
                      <w:rFonts w:cs="Arial"/>
                      <w:sz w:val="15"/>
                      <w:szCs w:val="15"/>
                    </w:rPr>
                  </w:pPr>
                  <w:r w:rsidRPr="001B4C86">
                    <w:rPr>
                      <w:rFonts w:cs="Arial"/>
                      <w:sz w:val="15"/>
                      <w:szCs w:val="15"/>
                    </w:rPr>
                    <w:t>11</w:t>
                  </w:r>
                </w:p>
                <w:p w14:paraId="7CE46727" w14:textId="77777777" w:rsidR="0049294F" w:rsidRPr="001B4C86" w:rsidRDefault="0049294F" w:rsidP="0049294F">
                  <w:pPr>
                    <w:adjustRightInd w:val="0"/>
                    <w:spacing w:after="0"/>
                    <w:jc w:val="center"/>
                    <w:rPr>
                      <w:rFonts w:cs="Arial"/>
                      <w:sz w:val="15"/>
                      <w:szCs w:val="15"/>
                    </w:rPr>
                  </w:pPr>
                  <w:r w:rsidRPr="001B4C86">
                    <w:rPr>
                      <w:rFonts w:cs="Arial"/>
                      <w:sz w:val="15"/>
                      <w:szCs w:val="15"/>
                    </w:rPr>
                    <w:t>27.5</w:t>
                  </w:r>
                </w:p>
                <w:p w14:paraId="6156404C" w14:textId="77777777" w:rsidR="0049294F" w:rsidRPr="001B4C86" w:rsidRDefault="0049294F" w:rsidP="0049294F">
                  <w:pPr>
                    <w:adjustRightInd w:val="0"/>
                    <w:spacing w:after="0"/>
                    <w:jc w:val="center"/>
                    <w:rPr>
                      <w:rFonts w:cs="Arial"/>
                      <w:sz w:val="15"/>
                      <w:szCs w:val="15"/>
                      <w:highlight w:val="yellow"/>
                    </w:rPr>
                  </w:pPr>
                  <w:r w:rsidRPr="001B4C86">
                    <w:rPr>
                      <w:rFonts w:cs="Arial"/>
                      <w:sz w:val="15"/>
                      <w:szCs w:val="15"/>
                    </w:rPr>
                    <w:t>(16.3 to 44.1)</w:t>
                  </w:r>
                </w:p>
              </w:tc>
              <w:tc>
                <w:tcPr>
                  <w:tcW w:w="434" w:type="pct"/>
                  <w:shd w:val="clear" w:color="auto" w:fill="F2F2F2" w:themeFill="background1" w:themeFillShade="F2"/>
                  <w:vAlign w:val="center"/>
                </w:tcPr>
                <w:p w14:paraId="44ED8AA3" w14:textId="77777777" w:rsidR="0049294F" w:rsidRPr="001B4C86" w:rsidRDefault="0049294F" w:rsidP="0049294F">
                  <w:pPr>
                    <w:adjustRightInd w:val="0"/>
                    <w:spacing w:after="0"/>
                    <w:jc w:val="center"/>
                    <w:rPr>
                      <w:rFonts w:cs="Arial"/>
                      <w:sz w:val="15"/>
                      <w:szCs w:val="15"/>
                    </w:rPr>
                  </w:pPr>
                  <w:r w:rsidRPr="001B4C86">
                    <w:rPr>
                      <w:rFonts w:cs="Arial"/>
                      <w:sz w:val="15"/>
                      <w:szCs w:val="15"/>
                    </w:rPr>
                    <w:t>17</w:t>
                  </w:r>
                </w:p>
                <w:p w14:paraId="67EC5FB0" w14:textId="77777777" w:rsidR="0049294F" w:rsidRPr="001B4C86" w:rsidRDefault="0049294F" w:rsidP="0049294F">
                  <w:pPr>
                    <w:adjustRightInd w:val="0"/>
                    <w:spacing w:after="0"/>
                    <w:jc w:val="center"/>
                    <w:rPr>
                      <w:rFonts w:cs="Arial"/>
                      <w:sz w:val="15"/>
                      <w:szCs w:val="15"/>
                    </w:rPr>
                  </w:pPr>
                  <w:r w:rsidRPr="001B4C86">
                    <w:rPr>
                      <w:rFonts w:cs="Arial"/>
                      <w:sz w:val="15"/>
                      <w:szCs w:val="15"/>
                    </w:rPr>
                    <w:t>47.2</w:t>
                  </w:r>
                </w:p>
                <w:p w14:paraId="721FBFEC" w14:textId="77777777" w:rsidR="0049294F" w:rsidRPr="001B4C86" w:rsidRDefault="0049294F" w:rsidP="0049294F">
                  <w:pPr>
                    <w:adjustRightInd w:val="0"/>
                    <w:spacing w:after="0"/>
                    <w:jc w:val="center"/>
                    <w:rPr>
                      <w:rFonts w:cs="Arial"/>
                      <w:sz w:val="15"/>
                      <w:szCs w:val="15"/>
                      <w:highlight w:val="yellow"/>
                    </w:rPr>
                  </w:pPr>
                  <w:r w:rsidRPr="001B4C86">
                    <w:rPr>
                      <w:rFonts w:cs="Arial"/>
                      <w:sz w:val="15"/>
                      <w:szCs w:val="15"/>
                    </w:rPr>
                    <w:t>(32.6 to 64.5)</w:t>
                  </w:r>
                </w:p>
              </w:tc>
              <w:tc>
                <w:tcPr>
                  <w:tcW w:w="434" w:type="pct"/>
                  <w:tcBorders>
                    <w:right w:val="single" w:sz="4" w:space="0" w:color="auto"/>
                  </w:tcBorders>
                  <w:shd w:val="clear" w:color="auto" w:fill="F2F2F2" w:themeFill="background1" w:themeFillShade="F2"/>
                  <w:vAlign w:val="center"/>
                </w:tcPr>
                <w:p w14:paraId="4712AA88" w14:textId="77777777" w:rsidR="0049294F" w:rsidRPr="001B4C86" w:rsidRDefault="0049294F" w:rsidP="0049294F">
                  <w:pPr>
                    <w:adjustRightInd w:val="0"/>
                    <w:spacing w:after="0"/>
                    <w:jc w:val="center"/>
                    <w:rPr>
                      <w:rFonts w:cs="Arial"/>
                      <w:sz w:val="15"/>
                      <w:szCs w:val="15"/>
                    </w:rPr>
                  </w:pPr>
                  <w:r w:rsidRPr="001B4C86">
                    <w:rPr>
                      <w:rFonts w:cs="Arial"/>
                      <w:sz w:val="15"/>
                      <w:szCs w:val="15"/>
                    </w:rPr>
                    <w:t>17</w:t>
                  </w:r>
                </w:p>
                <w:p w14:paraId="32250F87" w14:textId="77777777" w:rsidR="0049294F" w:rsidRPr="001B4C86" w:rsidRDefault="0049294F" w:rsidP="0049294F">
                  <w:pPr>
                    <w:adjustRightInd w:val="0"/>
                    <w:spacing w:after="0"/>
                    <w:jc w:val="center"/>
                    <w:rPr>
                      <w:rFonts w:cs="Arial"/>
                      <w:sz w:val="15"/>
                      <w:szCs w:val="15"/>
                    </w:rPr>
                  </w:pPr>
                  <w:r w:rsidRPr="001B4C86">
                    <w:rPr>
                      <w:rFonts w:cs="Arial"/>
                      <w:sz w:val="15"/>
                      <w:szCs w:val="15"/>
                    </w:rPr>
                    <w:t>46.0</w:t>
                  </w:r>
                </w:p>
                <w:p w14:paraId="52D18C01" w14:textId="77777777" w:rsidR="0049294F" w:rsidRPr="001B4C86" w:rsidRDefault="0049294F" w:rsidP="0049294F">
                  <w:pPr>
                    <w:adjustRightInd w:val="0"/>
                    <w:spacing w:after="0"/>
                    <w:jc w:val="center"/>
                    <w:rPr>
                      <w:rFonts w:cs="Arial"/>
                      <w:sz w:val="15"/>
                      <w:szCs w:val="15"/>
                      <w:highlight w:val="yellow"/>
                    </w:rPr>
                  </w:pPr>
                  <w:r w:rsidRPr="001B4C86">
                    <w:rPr>
                      <w:rFonts w:cs="Arial"/>
                      <w:sz w:val="15"/>
                      <w:szCs w:val="15"/>
                    </w:rPr>
                    <w:t>(31.6 to 63.1)</w:t>
                  </w:r>
                </w:p>
              </w:tc>
              <w:tc>
                <w:tcPr>
                  <w:tcW w:w="434" w:type="pct"/>
                  <w:tcBorders>
                    <w:left w:val="single" w:sz="4" w:space="0" w:color="auto"/>
                  </w:tcBorders>
                  <w:shd w:val="clear" w:color="auto" w:fill="F2F2F2" w:themeFill="background1" w:themeFillShade="F2"/>
                  <w:tcMar>
                    <w:left w:w="60" w:type="dxa"/>
                    <w:right w:w="60" w:type="dxa"/>
                  </w:tcMar>
                </w:tcPr>
                <w:p w14:paraId="3C6DD879" w14:textId="77777777" w:rsidR="0049294F" w:rsidRPr="001B4C86" w:rsidRDefault="0049294F" w:rsidP="0049294F">
                  <w:pPr>
                    <w:adjustRightInd w:val="0"/>
                    <w:spacing w:after="0"/>
                    <w:jc w:val="center"/>
                    <w:rPr>
                      <w:rFonts w:cs="Arial"/>
                      <w:sz w:val="15"/>
                      <w:szCs w:val="15"/>
                    </w:rPr>
                  </w:pPr>
                  <w:r w:rsidRPr="001B4C86">
                    <w:rPr>
                      <w:rFonts w:cs="Arial"/>
                      <w:sz w:val="15"/>
                      <w:szCs w:val="15"/>
                    </w:rPr>
                    <w:t>0.69</w:t>
                  </w:r>
                </w:p>
                <w:p w14:paraId="0A68D74F" w14:textId="3C51F419" w:rsidR="0049294F" w:rsidRPr="001B4C86" w:rsidRDefault="0049294F" w:rsidP="0049294F">
                  <w:pPr>
                    <w:adjustRightInd w:val="0"/>
                    <w:spacing w:after="0"/>
                    <w:jc w:val="center"/>
                    <w:rPr>
                      <w:rFonts w:cs="Arial"/>
                      <w:sz w:val="15"/>
                      <w:szCs w:val="15"/>
                      <w:highlight w:val="yellow"/>
                    </w:rPr>
                  </w:pPr>
                  <w:r w:rsidRPr="001B4C86">
                    <w:rPr>
                      <w:rFonts w:cs="Arial"/>
                      <w:sz w:val="15"/>
                      <w:szCs w:val="15"/>
                    </w:rPr>
                    <w:t>(0.37 to 1.28)</w:t>
                  </w:r>
                </w:p>
              </w:tc>
              <w:tc>
                <w:tcPr>
                  <w:tcW w:w="434" w:type="pct"/>
                  <w:shd w:val="clear" w:color="auto" w:fill="F2F2F2" w:themeFill="background1" w:themeFillShade="F2"/>
                  <w:tcMar>
                    <w:left w:w="60" w:type="dxa"/>
                    <w:right w:w="60" w:type="dxa"/>
                  </w:tcMar>
                </w:tcPr>
                <w:p w14:paraId="4158F67C" w14:textId="77777777" w:rsidR="0049294F" w:rsidRPr="001B4C86" w:rsidRDefault="0049294F" w:rsidP="0049294F">
                  <w:pPr>
                    <w:adjustRightInd w:val="0"/>
                    <w:spacing w:after="0"/>
                    <w:jc w:val="center"/>
                    <w:rPr>
                      <w:rFonts w:cs="Arial"/>
                      <w:sz w:val="15"/>
                      <w:szCs w:val="15"/>
                    </w:rPr>
                  </w:pPr>
                  <w:r w:rsidRPr="001B4C86">
                    <w:rPr>
                      <w:rFonts w:cs="Arial"/>
                      <w:sz w:val="15"/>
                      <w:szCs w:val="15"/>
                    </w:rPr>
                    <w:t>1.31</w:t>
                  </w:r>
                </w:p>
                <w:p w14:paraId="14DE7181" w14:textId="375F37BD" w:rsidR="0049294F" w:rsidRPr="001B4C86" w:rsidRDefault="0049294F" w:rsidP="0049294F">
                  <w:pPr>
                    <w:adjustRightInd w:val="0"/>
                    <w:spacing w:after="0"/>
                    <w:jc w:val="center"/>
                    <w:rPr>
                      <w:rFonts w:cs="Arial"/>
                      <w:sz w:val="15"/>
                      <w:szCs w:val="15"/>
                      <w:highlight w:val="yellow"/>
                    </w:rPr>
                  </w:pPr>
                  <w:r w:rsidRPr="001B4C86">
                    <w:rPr>
                      <w:rFonts w:cs="Arial"/>
                      <w:sz w:val="15"/>
                      <w:szCs w:val="15"/>
                    </w:rPr>
                    <w:t>(0.67 to 2.55)</w:t>
                  </w:r>
                </w:p>
              </w:tc>
              <w:tc>
                <w:tcPr>
                  <w:tcW w:w="434" w:type="pct"/>
                  <w:shd w:val="clear" w:color="auto" w:fill="F2F2F2" w:themeFill="background1" w:themeFillShade="F2"/>
                </w:tcPr>
                <w:p w14:paraId="48D1B528" w14:textId="77777777" w:rsidR="0049294F" w:rsidRPr="001B4C86" w:rsidRDefault="0049294F" w:rsidP="0049294F">
                  <w:pPr>
                    <w:adjustRightInd w:val="0"/>
                    <w:spacing w:after="0"/>
                    <w:jc w:val="center"/>
                    <w:rPr>
                      <w:rFonts w:cs="Arial"/>
                      <w:sz w:val="15"/>
                      <w:szCs w:val="15"/>
                    </w:rPr>
                  </w:pPr>
                  <w:r w:rsidRPr="001B4C86">
                    <w:rPr>
                      <w:rFonts w:cs="Arial"/>
                      <w:sz w:val="15"/>
                      <w:szCs w:val="15"/>
                    </w:rPr>
                    <w:t>0.54</w:t>
                  </w:r>
                </w:p>
                <w:p w14:paraId="2295F58E" w14:textId="0B6A2B25" w:rsidR="0049294F" w:rsidRPr="001B4C86" w:rsidRDefault="0049294F" w:rsidP="0049294F">
                  <w:pPr>
                    <w:adjustRightInd w:val="0"/>
                    <w:spacing w:after="0"/>
                    <w:jc w:val="center"/>
                    <w:rPr>
                      <w:rFonts w:cs="Arial"/>
                      <w:sz w:val="15"/>
                      <w:szCs w:val="15"/>
                      <w:highlight w:val="yellow"/>
                    </w:rPr>
                  </w:pPr>
                  <w:r w:rsidRPr="001B4C86">
                    <w:rPr>
                      <w:rFonts w:cs="Arial"/>
                      <w:sz w:val="15"/>
                      <w:szCs w:val="15"/>
                    </w:rPr>
                    <w:t>(0.25 to 1.17)</w:t>
                  </w:r>
                </w:p>
              </w:tc>
              <w:tc>
                <w:tcPr>
                  <w:tcW w:w="434" w:type="pct"/>
                  <w:shd w:val="clear" w:color="auto" w:fill="F2F2F2" w:themeFill="background1" w:themeFillShade="F2"/>
                </w:tcPr>
                <w:p w14:paraId="1B4DD94D" w14:textId="77777777" w:rsidR="0049294F" w:rsidRPr="001B4C86" w:rsidRDefault="0049294F" w:rsidP="0049294F">
                  <w:pPr>
                    <w:adjustRightInd w:val="0"/>
                    <w:spacing w:after="0"/>
                    <w:jc w:val="center"/>
                    <w:rPr>
                      <w:rFonts w:cs="Arial"/>
                      <w:sz w:val="15"/>
                      <w:szCs w:val="15"/>
                    </w:rPr>
                  </w:pPr>
                  <w:r w:rsidRPr="001B4C86">
                    <w:rPr>
                      <w:rFonts w:cs="Arial"/>
                      <w:sz w:val="15"/>
                      <w:szCs w:val="15"/>
                    </w:rPr>
                    <w:t>0.97</w:t>
                  </w:r>
                </w:p>
                <w:p w14:paraId="2C97E8D8" w14:textId="5B58B229" w:rsidR="0049294F" w:rsidRPr="001B4C86" w:rsidRDefault="0049294F" w:rsidP="0049294F">
                  <w:pPr>
                    <w:adjustRightInd w:val="0"/>
                    <w:spacing w:after="0"/>
                    <w:jc w:val="center"/>
                    <w:rPr>
                      <w:rFonts w:cs="Arial"/>
                      <w:sz w:val="15"/>
                      <w:szCs w:val="15"/>
                      <w:highlight w:val="yellow"/>
                    </w:rPr>
                  </w:pPr>
                  <w:r w:rsidRPr="001B4C86">
                    <w:rPr>
                      <w:rFonts w:cs="Arial"/>
                      <w:sz w:val="15"/>
                      <w:szCs w:val="15"/>
                    </w:rPr>
                    <w:t>(0.49 to 1.93)</w:t>
                  </w:r>
                </w:p>
              </w:tc>
              <w:tc>
                <w:tcPr>
                  <w:tcW w:w="434" w:type="pct"/>
                  <w:shd w:val="clear" w:color="auto" w:fill="F2F2F2" w:themeFill="background1" w:themeFillShade="F2"/>
                </w:tcPr>
                <w:p w14:paraId="5ACC7AE9" w14:textId="74B7B9AA" w:rsidR="0049294F" w:rsidRPr="001B4C86" w:rsidRDefault="0049294F" w:rsidP="0049294F">
                  <w:pPr>
                    <w:adjustRightInd w:val="0"/>
                    <w:spacing w:after="0"/>
                    <w:jc w:val="center"/>
                    <w:rPr>
                      <w:rFonts w:cs="Arial"/>
                      <w:sz w:val="15"/>
                      <w:szCs w:val="15"/>
                      <w:highlight w:val="yellow"/>
                    </w:rPr>
                  </w:pPr>
                  <w:r w:rsidRPr="001B4C86">
                    <w:rPr>
                      <w:rFonts w:cs="Arial"/>
                      <w:sz w:val="15"/>
                      <w:szCs w:val="15"/>
                    </w:rPr>
                    <w:t>0.06</w:t>
                  </w:r>
                </w:p>
              </w:tc>
            </w:tr>
            <w:tr w:rsidR="001B4C86" w:rsidRPr="001B4C86" w14:paraId="22F0BEF0" w14:textId="77777777" w:rsidTr="005C0B7E">
              <w:trPr>
                <w:cantSplit/>
                <w:trHeight w:val="289"/>
                <w:jc w:val="center"/>
              </w:trPr>
              <w:tc>
                <w:tcPr>
                  <w:tcW w:w="659" w:type="pct"/>
                  <w:shd w:val="clear" w:color="auto" w:fill="auto"/>
                  <w:tcMar>
                    <w:left w:w="60" w:type="dxa"/>
                    <w:right w:w="60" w:type="dxa"/>
                  </w:tcMar>
                  <w:vAlign w:val="center"/>
                </w:tcPr>
                <w:p w14:paraId="5D42D5C6" w14:textId="77777777" w:rsidR="005D01EA" w:rsidRPr="001B4C86" w:rsidRDefault="005D01EA" w:rsidP="005D01EA">
                  <w:pPr>
                    <w:adjustRightInd w:val="0"/>
                    <w:spacing w:after="0"/>
                    <w:jc w:val="center"/>
                    <w:rPr>
                      <w:rFonts w:cs="Arial"/>
                      <w:b/>
                      <w:sz w:val="15"/>
                      <w:szCs w:val="15"/>
                    </w:rPr>
                  </w:pPr>
                  <w:r w:rsidRPr="001B4C86">
                    <w:rPr>
                      <w:rFonts w:cs="Arial"/>
                      <w:b/>
                      <w:sz w:val="15"/>
                      <w:szCs w:val="15"/>
                    </w:rPr>
                    <w:t>10 week mortality</w:t>
                  </w:r>
                </w:p>
              </w:tc>
              <w:tc>
                <w:tcPr>
                  <w:tcW w:w="434" w:type="pct"/>
                  <w:shd w:val="clear" w:color="auto" w:fill="auto"/>
                  <w:tcMar>
                    <w:left w:w="60" w:type="dxa"/>
                    <w:right w:w="60" w:type="dxa"/>
                  </w:tcMar>
                  <w:vAlign w:val="center"/>
                </w:tcPr>
                <w:p w14:paraId="680FE69E" w14:textId="77777777" w:rsidR="005D01EA" w:rsidRPr="001B4C86" w:rsidRDefault="005D01EA" w:rsidP="005D01EA">
                  <w:pPr>
                    <w:adjustRightInd w:val="0"/>
                    <w:spacing w:after="0"/>
                    <w:jc w:val="center"/>
                    <w:rPr>
                      <w:rFonts w:cs="Arial"/>
                      <w:sz w:val="15"/>
                      <w:szCs w:val="15"/>
                      <w:highlight w:val="yellow"/>
                    </w:rPr>
                  </w:pPr>
                </w:p>
              </w:tc>
              <w:tc>
                <w:tcPr>
                  <w:tcW w:w="435" w:type="pct"/>
                  <w:shd w:val="clear" w:color="auto" w:fill="auto"/>
                  <w:tcMar>
                    <w:left w:w="60" w:type="dxa"/>
                    <w:right w:w="60" w:type="dxa"/>
                  </w:tcMar>
                  <w:vAlign w:val="center"/>
                </w:tcPr>
                <w:p w14:paraId="450F257F" w14:textId="77777777" w:rsidR="005D01EA" w:rsidRPr="001B4C86" w:rsidRDefault="005D01EA" w:rsidP="005D01EA">
                  <w:pPr>
                    <w:adjustRightInd w:val="0"/>
                    <w:spacing w:after="0"/>
                    <w:jc w:val="center"/>
                    <w:rPr>
                      <w:rFonts w:cs="Arial"/>
                      <w:sz w:val="15"/>
                      <w:szCs w:val="15"/>
                      <w:highlight w:val="yellow"/>
                    </w:rPr>
                  </w:pPr>
                </w:p>
              </w:tc>
              <w:tc>
                <w:tcPr>
                  <w:tcW w:w="434" w:type="pct"/>
                  <w:shd w:val="clear" w:color="auto" w:fill="auto"/>
                  <w:tcMar>
                    <w:left w:w="60" w:type="dxa"/>
                    <w:right w:w="60" w:type="dxa"/>
                  </w:tcMar>
                  <w:vAlign w:val="center"/>
                </w:tcPr>
                <w:p w14:paraId="711E5AC4" w14:textId="77777777" w:rsidR="005D01EA" w:rsidRPr="001B4C86" w:rsidRDefault="005D01EA" w:rsidP="005D01EA">
                  <w:pPr>
                    <w:adjustRightInd w:val="0"/>
                    <w:spacing w:after="0"/>
                    <w:jc w:val="center"/>
                    <w:rPr>
                      <w:rFonts w:cs="Arial"/>
                      <w:sz w:val="15"/>
                      <w:szCs w:val="15"/>
                      <w:highlight w:val="yellow"/>
                    </w:rPr>
                  </w:pPr>
                </w:p>
              </w:tc>
              <w:tc>
                <w:tcPr>
                  <w:tcW w:w="434" w:type="pct"/>
                  <w:shd w:val="clear" w:color="auto" w:fill="auto"/>
                  <w:vAlign w:val="center"/>
                </w:tcPr>
                <w:p w14:paraId="348D050B" w14:textId="77777777" w:rsidR="005D01EA" w:rsidRPr="001B4C86" w:rsidRDefault="005D01EA" w:rsidP="005D01EA">
                  <w:pPr>
                    <w:adjustRightInd w:val="0"/>
                    <w:spacing w:after="0"/>
                    <w:jc w:val="center"/>
                    <w:rPr>
                      <w:rFonts w:cs="Arial"/>
                      <w:sz w:val="15"/>
                      <w:szCs w:val="15"/>
                      <w:highlight w:val="yellow"/>
                    </w:rPr>
                  </w:pPr>
                </w:p>
              </w:tc>
              <w:tc>
                <w:tcPr>
                  <w:tcW w:w="434" w:type="pct"/>
                  <w:tcBorders>
                    <w:right w:val="single" w:sz="4" w:space="0" w:color="auto"/>
                  </w:tcBorders>
                  <w:shd w:val="clear" w:color="auto" w:fill="auto"/>
                  <w:vAlign w:val="center"/>
                </w:tcPr>
                <w:p w14:paraId="210749F2" w14:textId="77777777" w:rsidR="005D01EA" w:rsidRPr="001B4C86" w:rsidRDefault="005D01EA" w:rsidP="005D01EA">
                  <w:pPr>
                    <w:adjustRightInd w:val="0"/>
                    <w:spacing w:after="0"/>
                    <w:jc w:val="center"/>
                    <w:rPr>
                      <w:rFonts w:cs="Arial"/>
                      <w:sz w:val="15"/>
                      <w:szCs w:val="15"/>
                      <w:highlight w:val="yellow"/>
                    </w:rPr>
                  </w:pPr>
                </w:p>
              </w:tc>
              <w:tc>
                <w:tcPr>
                  <w:tcW w:w="434" w:type="pct"/>
                  <w:tcBorders>
                    <w:left w:val="single" w:sz="4" w:space="0" w:color="auto"/>
                  </w:tcBorders>
                  <w:shd w:val="clear" w:color="auto" w:fill="auto"/>
                  <w:tcMar>
                    <w:left w:w="60" w:type="dxa"/>
                    <w:right w:w="60" w:type="dxa"/>
                  </w:tcMar>
                  <w:vAlign w:val="center"/>
                </w:tcPr>
                <w:p w14:paraId="2FAC7F50" w14:textId="77777777" w:rsidR="005D01EA" w:rsidRPr="001B4C86" w:rsidRDefault="005D01EA" w:rsidP="005D01EA">
                  <w:pPr>
                    <w:adjustRightInd w:val="0"/>
                    <w:spacing w:after="0"/>
                    <w:jc w:val="center"/>
                    <w:rPr>
                      <w:rFonts w:cs="Arial"/>
                      <w:sz w:val="15"/>
                      <w:szCs w:val="15"/>
                      <w:highlight w:val="yellow"/>
                    </w:rPr>
                  </w:pPr>
                </w:p>
              </w:tc>
              <w:tc>
                <w:tcPr>
                  <w:tcW w:w="434" w:type="pct"/>
                  <w:shd w:val="clear" w:color="auto" w:fill="auto"/>
                  <w:tcMar>
                    <w:left w:w="60" w:type="dxa"/>
                    <w:right w:w="60" w:type="dxa"/>
                  </w:tcMar>
                  <w:vAlign w:val="center"/>
                </w:tcPr>
                <w:p w14:paraId="079CF4F6" w14:textId="77777777" w:rsidR="005D01EA" w:rsidRPr="001B4C86" w:rsidRDefault="005D01EA" w:rsidP="005D01EA">
                  <w:pPr>
                    <w:adjustRightInd w:val="0"/>
                    <w:spacing w:after="0"/>
                    <w:jc w:val="center"/>
                    <w:rPr>
                      <w:rFonts w:cs="Arial"/>
                      <w:sz w:val="15"/>
                      <w:szCs w:val="15"/>
                      <w:highlight w:val="yellow"/>
                    </w:rPr>
                  </w:pPr>
                </w:p>
              </w:tc>
              <w:tc>
                <w:tcPr>
                  <w:tcW w:w="434" w:type="pct"/>
                  <w:shd w:val="clear" w:color="auto" w:fill="auto"/>
                  <w:vAlign w:val="center"/>
                </w:tcPr>
                <w:p w14:paraId="2B6E2D20" w14:textId="77777777" w:rsidR="005D01EA" w:rsidRPr="001B4C86" w:rsidRDefault="005D01EA" w:rsidP="005D01EA">
                  <w:pPr>
                    <w:adjustRightInd w:val="0"/>
                    <w:spacing w:after="0"/>
                    <w:jc w:val="center"/>
                    <w:rPr>
                      <w:rFonts w:cs="Arial"/>
                      <w:sz w:val="15"/>
                      <w:szCs w:val="15"/>
                      <w:highlight w:val="yellow"/>
                    </w:rPr>
                  </w:pPr>
                </w:p>
              </w:tc>
              <w:tc>
                <w:tcPr>
                  <w:tcW w:w="434" w:type="pct"/>
                  <w:shd w:val="clear" w:color="auto" w:fill="auto"/>
                  <w:vAlign w:val="center"/>
                </w:tcPr>
                <w:p w14:paraId="3CC60176" w14:textId="77777777" w:rsidR="005D01EA" w:rsidRPr="001B4C86" w:rsidRDefault="005D01EA" w:rsidP="005D01EA">
                  <w:pPr>
                    <w:adjustRightInd w:val="0"/>
                    <w:spacing w:after="0"/>
                    <w:jc w:val="center"/>
                    <w:rPr>
                      <w:rFonts w:cs="Arial"/>
                      <w:sz w:val="15"/>
                      <w:szCs w:val="15"/>
                      <w:highlight w:val="yellow"/>
                    </w:rPr>
                  </w:pPr>
                </w:p>
              </w:tc>
              <w:tc>
                <w:tcPr>
                  <w:tcW w:w="434" w:type="pct"/>
                  <w:shd w:val="clear" w:color="auto" w:fill="auto"/>
                  <w:vAlign w:val="center"/>
                </w:tcPr>
                <w:p w14:paraId="1332E7BB" w14:textId="77777777" w:rsidR="005D01EA" w:rsidRPr="001B4C86" w:rsidRDefault="005D01EA" w:rsidP="005D01EA">
                  <w:pPr>
                    <w:adjustRightInd w:val="0"/>
                    <w:spacing w:after="0"/>
                    <w:jc w:val="center"/>
                    <w:rPr>
                      <w:rFonts w:cs="Arial"/>
                      <w:sz w:val="15"/>
                      <w:szCs w:val="15"/>
                      <w:highlight w:val="yellow"/>
                    </w:rPr>
                  </w:pPr>
                </w:p>
              </w:tc>
            </w:tr>
            <w:tr w:rsidR="001B4C86" w:rsidRPr="001B4C86" w14:paraId="437BB792" w14:textId="77777777" w:rsidTr="00FE141D">
              <w:trPr>
                <w:cantSplit/>
                <w:trHeight w:val="636"/>
                <w:jc w:val="center"/>
              </w:trPr>
              <w:tc>
                <w:tcPr>
                  <w:tcW w:w="659" w:type="pct"/>
                  <w:shd w:val="clear" w:color="auto" w:fill="auto"/>
                  <w:tcMar>
                    <w:left w:w="60" w:type="dxa"/>
                    <w:right w:w="60" w:type="dxa"/>
                  </w:tcMar>
                  <w:vAlign w:val="center"/>
                </w:tcPr>
                <w:p w14:paraId="08D9B40A" w14:textId="77777777" w:rsidR="0049294F" w:rsidRPr="001B4C86" w:rsidRDefault="0049294F" w:rsidP="0049294F">
                  <w:pPr>
                    <w:adjustRightInd w:val="0"/>
                    <w:spacing w:after="0"/>
                    <w:jc w:val="center"/>
                    <w:rPr>
                      <w:noProof/>
                      <w:sz w:val="15"/>
                      <w:szCs w:val="15"/>
                    </w:rPr>
                  </w:pPr>
                  <w:r w:rsidRPr="001B4C86">
                    <w:rPr>
                      <w:noProof/>
                      <w:sz w:val="15"/>
                      <w:szCs w:val="15"/>
                    </w:rPr>
                    <w:t>No. of deaths</w:t>
                  </w:r>
                </w:p>
                <w:p w14:paraId="22DC959D" w14:textId="77777777" w:rsidR="0049294F" w:rsidRPr="001B4C86" w:rsidRDefault="0049294F" w:rsidP="0049294F">
                  <w:pPr>
                    <w:adjustRightInd w:val="0"/>
                    <w:spacing w:after="0"/>
                    <w:jc w:val="center"/>
                    <w:rPr>
                      <w:noProof/>
                      <w:sz w:val="15"/>
                      <w:szCs w:val="15"/>
                    </w:rPr>
                  </w:pPr>
                  <w:r w:rsidRPr="001B4C86">
                    <w:rPr>
                      <w:noProof/>
                      <w:sz w:val="15"/>
                      <w:szCs w:val="15"/>
                    </w:rPr>
                    <w:t xml:space="preserve">Probability of death </w:t>
                  </w:r>
                </w:p>
                <w:p w14:paraId="0364616F" w14:textId="77777777" w:rsidR="0049294F" w:rsidRPr="001B4C86" w:rsidRDefault="0049294F" w:rsidP="0049294F">
                  <w:pPr>
                    <w:adjustRightInd w:val="0"/>
                    <w:spacing w:after="0"/>
                    <w:jc w:val="center"/>
                    <w:rPr>
                      <w:rFonts w:cs="Arial"/>
                      <w:sz w:val="15"/>
                      <w:szCs w:val="15"/>
                    </w:rPr>
                  </w:pPr>
                  <w:r w:rsidRPr="001B4C86">
                    <w:rPr>
                      <w:noProof/>
                      <w:sz w:val="15"/>
                      <w:szCs w:val="15"/>
                    </w:rPr>
                    <w:t>(95% CI)</w:t>
                  </w:r>
                </w:p>
              </w:tc>
              <w:tc>
                <w:tcPr>
                  <w:tcW w:w="434" w:type="pct"/>
                  <w:shd w:val="clear" w:color="auto" w:fill="auto"/>
                  <w:tcMar>
                    <w:left w:w="60" w:type="dxa"/>
                    <w:right w:w="60" w:type="dxa"/>
                  </w:tcMar>
                  <w:vAlign w:val="center"/>
                </w:tcPr>
                <w:p w14:paraId="3CFA980C" w14:textId="77777777" w:rsidR="0049294F" w:rsidRPr="001B4C86" w:rsidRDefault="0049294F" w:rsidP="0049294F">
                  <w:pPr>
                    <w:adjustRightInd w:val="0"/>
                    <w:spacing w:after="0"/>
                    <w:jc w:val="center"/>
                    <w:rPr>
                      <w:rFonts w:cs="Arial"/>
                      <w:sz w:val="15"/>
                      <w:szCs w:val="15"/>
                    </w:rPr>
                  </w:pPr>
                  <w:r w:rsidRPr="001B4C86">
                    <w:rPr>
                      <w:rFonts w:cs="Arial"/>
                      <w:sz w:val="15"/>
                      <w:szCs w:val="15"/>
                    </w:rPr>
                    <w:t>23</w:t>
                  </w:r>
                </w:p>
                <w:p w14:paraId="74A7CB17" w14:textId="77777777" w:rsidR="0049294F" w:rsidRPr="001B4C86" w:rsidRDefault="0049294F" w:rsidP="0049294F">
                  <w:pPr>
                    <w:adjustRightInd w:val="0"/>
                    <w:spacing w:after="0"/>
                    <w:jc w:val="center"/>
                    <w:rPr>
                      <w:rFonts w:cs="Arial"/>
                      <w:sz w:val="15"/>
                      <w:szCs w:val="15"/>
                    </w:rPr>
                  </w:pPr>
                  <w:r w:rsidRPr="001B4C86">
                    <w:rPr>
                      <w:rFonts w:cs="Arial"/>
                      <w:sz w:val="15"/>
                      <w:szCs w:val="15"/>
                    </w:rPr>
                    <w:t>30.7</w:t>
                  </w:r>
                </w:p>
                <w:p w14:paraId="64271D2D" w14:textId="77777777" w:rsidR="0049294F" w:rsidRPr="001B4C86" w:rsidRDefault="0049294F" w:rsidP="0049294F">
                  <w:pPr>
                    <w:adjustRightInd w:val="0"/>
                    <w:spacing w:after="0"/>
                    <w:jc w:val="center"/>
                    <w:rPr>
                      <w:rFonts w:cs="Arial"/>
                      <w:sz w:val="15"/>
                      <w:szCs w:val="15"/>
                    </w:rPr>
                  </w:pPr>
                  <w:r w:rsidRPr="001B4C86">
                    <w:rPr>
                      <w:rFonts w:cs="Arial"/>
                      <w:sz w:val="15"/>
                      <w:szCs w:val="15"/>
                    </w:rPr>
                    <w:t>(21.6 to 42.4)</w:t>
                  </w:r>
                </w:p>
              </w:tc>
              <w:tc>
                <w:tcPr>
                  <w:tcW w:w="435" w:type="pct"/>
                  <w:shd w:val="clear" w:color="auto" w:fill="auto"/>
                  <w:tcMar>
                    <w:left w:w="60" w:type="dxa"/>
                    <w:right w:w="60" w:type="dxa"/>
                  </w:tcMar>
                  <w:vAlign w:val="center"/>
                </w:tcPr>
                <w:p w14:paraId="4B972FDF" w14:textId="77777777" w:rsidR="0049294F" w:rsidRPr="001B4C86" w:rsidRDefault="0049294F" w:rsidP="0049294F">
                  <w:pPr>
                    <w:adjustRightInd w:val="0"/>
                    <w:spacing w:after="0"/>
                    <w:jc w:val="center"/>
                    <w:rPr>
                      <w:rFonts w:cs="Arial"/>
                      <w:sz w:val="15"/>
                      <w:szCs w:val="15"/>
                    </w:rPr>
                  </w:pPr>
                  <w:r w:rsidRPr="001B4C86">
                    <w:rPr>
                      <w:rFonts w:cs="Arial"/>
                      <w:sz w:val="15"/>
                      <w:szCs w:val="15"/>
                    </w:rPr>
                    <w:t>19</w:t>
                  </w:r>
                </w:p>
                <w:p w14:paraId="021466C4" w14:textId="77777777" w:rsidR="0049294F" w:rsidRPr="001B4C86" w:rsidRDefault="0049294F" w:rsidP="0049294F">
                  <w:pPr>
                    <w:adjustRightInd w:val="0"/>
                    <w:spacing w:after="0"/>
                    <w:jc w:val="center"/>
                    <w:rPr>
                      <w:rFonts w:cs="Arial"/>
                      <w:sz w:val="15"/>
                      <w:szCs w:val="15"/>
                    </w:rPr>
                  </w:pPr>
                  <w:r w:rsidRPr="001B4C86">
                    <w:rPr>
                      <w:rFonts w:cs="Arial"/>
                      <w:sz w:val="15"/>
                      <w:szCs w:val="15"/>
                    </w:rPr>
                    <w:t>52.8</w:t>
                  </w:r>
                </w:p>
                <w:p w14:paraId="63B71E21" w14:textId="77777777" w:rsidR="0049294F" w:rsidRPr="001B4C86" w:rsidRDefault="0049294F" w:rsidP="0049294F">
                  <w:pPr>
                    <w:adjustRightInd w:val="0"/>
                    <w:spacing w:after="0"/>
                    <w:jc w:val="center"/>
                    <w:rPr>
                      <w:rFonts w:cs="Arial"/>
                      <w:sz w:val="15"/>
                      <w:szCs w:val="15"/>
                    </w:rPr>
                  </w:pPr>
                  <w:r w:rsidRPr="001B4C86">
                    <w:rPr>
                      <w:rFonts w:cs="Arial"/>
                      <w:sz w:val="15"/>
                      <w:szCs w:val="15"/>
                    </w:rPr>
                    <w:t>(37.7 to 69.5)</w:t>
                  </w:r>
                </w:p>
              </w:tc>
              <w:tc>
                <w:tcPr>
                  <w:tcW w:w="434" w:type="pct"/>
                  <w:shd w:val="clear" w:color="auto" w:fill="auto"/>
                  <w:tcMar>
                    <w:left w:w="60" w:type="dxa"/>
                    <w:right w:w="60" w:type="dxa"/>
                  </w:tcMar>
                  <w:vAlign w:val="center"/>
                </w:tcPr>
                <w:p w14:paraId="030BC949" w14:textId="77777777" w:rsidR="0049294F" w:rsidRPr="001B4C86" w:rsidRDefault="0049294F" w:rsidP="0049294F">
                  <w:pPr>
                    <w:adjustRightInd w:val="0"/>
                    <w:spacing w:after="0"/>
                    <w:jc w:val="center"/>
                    <w:rPr>
                      <w:rFonts w:cs="Arial"/>
                      <w:sz w:val="15"/>
                      <w:szCs w:val="15"/>
                    </w:rPr>
                  </w:pPr>
                  <w:r w:rsidRPr="001B4C86">
                    <w:rPr>
                      <w:rFonts w:cs="Arial"/>
                      <w:sz w:val="15"/>
                      <w:szCs w:val="15"/>
                    </w:rPr>
                    <w:t>9</w:t>
                  </w:r>
                </w:p>
                <w:p w14:paraId="7635B235" w14:textId="77777777" w:rsidR="0049294F" w:rsidRPr="001B4C86" w:rsidRDefault="0049294F" w:rsidP="0049294F">
                  <w:pPr>
                    <w:adjustRightInd w:val="0"/>
                    <w:spacing w:after="0"/>
                    <w:jc w:val="center"/>
                    <w:rPr>
                      <w:rFonts w:cs="Arial"/>
                      <w:sz w:val="15"/>
                      <w:szCs w:val="15"/>
                    </w:rPr>
                  </w:pPr>
                  <w:r w:rsidRPr="001B4C86">
                    <w:rPr>
                      <w:rFonts w:cs="Arial"/>
                      <w:sz w:val="15"/>
                      <w:szCs w:val="15"/>
                    </w:rPr>
                    <w:t>22.5</w:t>
                  </w:r>
                </w:p>
                <w:p w14:paraId="0502A068" w14:textId="77777777" w:rsidR="0049294F" w:rsidRPr="001B4C86" w:rsidRDefault="0049294F" w:rsidP="0049294F">
                  <w:pPr>
                    <w:adjustRightInd w:val="0"/>
                    <w:spacing w:after="0"/>
                    <w:jc w:val="center"/>
                    <w:rPr>
                      <w:rFonts w:cs="Arial"/>
                      <w:sz w:val="15"/>
                      <w:szCs w:val="15"/>
                    </w:rPr>
                  </w:pPr>
                  <w:r w:rsidRPr="001B4C86">
                    <w:rPr>
                      <w:rFonts w:cs="Arial"/>
                      <w:sz w:val="15"/>
                      <w:szCs w:val="15"/>
                    </w:rPr>
                    <w:t>(12.4 to 38.8)</w:t>
                  </w:r>
                </w:p>
              </w:tc>
              <w:tc>
                <w:tcPr>
                  <w:tcW w:w="434" w:type="pct"/>
                  <w:shd w:val="clear" w:color="auto" w:fill="auto"/>
                  <w:vAlign w:val="center"/>
                </w:tcPr>
                <w:p w14:paraId="50D077A4" w14:textId="77777777" w:rsidR="0049294F" w:rsidRPr="001B4C86" w:rsidRDefault="0049294F" w:rsidP="0049294F">
                  <w:pPr>
                    <w:adjustRightInd w:val="0"/>
                    <w:spacing w:after="0"/>
                    <w:jc w:val="center"/>
                    <w:rPr>
                      <w:rFonts w:cs="Arial"/>
                      <w:sz w:val="15"/>
                      <w:szCs w:val="15"/>
                    </w:rPr>
                  </w:pPr>
                  <w:r w:rsidRPr="001B4C86">
                    <w:rPr>
                      <w:rFonts w:cs="Arial"/>
                      <w:sz w:val="15"/>
                      <w:szCs w:val="15"/>
                    </w:rPr>
                    <w:t>14</w:t>
                  </w:r>
                </w:p>
                <w:p w14:paraId="688AC1D1" w14:textId="77777777" w:rsidR="0049294F" w:rsidRPr="001B4C86" w:rsidRDefault="0049294F" w:rsidP="0049294F">
                  <w:pPr>
                    <w:adjustRightInd w:val="0"/>
                    <w:spacing w:after="0"/>
                    <w:jc w:val="center"/>
                    <w:rPr>
                      <w:rFonts w:cs="Arial"/>
                      <w:sz w:val="15"/>
                      <w:szCs w:val="15"/>
                    </w:rPr>
                  </w:pPr>
                  <w:r w:rsidRPr="001B4C86">
                    <w:rPr>
                      <w:rFonts w:cs="Arial"/>
                      <w:sz w:val="15"/>
                      <w:szCs w:val="15"/>
                    </w:rPr>
                    <w:t>38.9</w:t>
                  </w:r>
                </w:p>
                <w:p w14:paraId="2E3A56B4" w14:textId="77777777" w:rsidR="0049294F" w:rsidRPr="001B4C86" w:rsidRDefault="0049294F" w:rsidP="0049294F">
                  <w:pPr>
                    <w:adjustRightInd w:val="0"/>
                    <w:spacing w:after="0"/>
                    <w:jc w:val="center"/>
                    <w:rPr>
                      <w:rFonts w:cs="Arial"/>
                      <w:sz w:val="15"/>
                      <w:szCs w:val="15"/>
                    </w:rPr>
                  </w:pPr>
                  <w:r w:rsidRPr="001B4C86">
                    <w:rPr>
                      <w:rFonts w:cs="Arial"/>
                      <w:sz w:val="15"/>
                      <w:szCs w:val="15"/>
                    </w:rPr>
                    <w:t>(25.2 to 56.7)</w:t>
                  </w:r>
                </w:p>
              </w:tc>
              <w:tc>
                <w:tcPr>
                  <w:tcW w:w="434" w:type="pct"/>
                  <w:tcBorders>
                    <w:right w:val="single" w:sz="4" w:space="0" w:color="auto"/>
                  </w:tcBorders>
                  <w:shd w:val="clear" w:color="auto" w:fill="auto"/>
                  <w:vAlign w:val="center"/>
                </w:tcPr>
                <w:p w14:paraId="0F1D00D3" w14:textId="77777777" w:rsidR="0049294F" w:rsidRPr="001B4C86" w:rsidRDefault="0049294F" w:rsidP="0049294F">
                  <w:pPr>
                    <w:adjustRightInd w:val="0"/>
                    <w:spacing w:after="0"/>
                    <w:jc w:val="center"/>
                    <w:rPr>
                      <w:rFonts w:cs="Arial"/>
                      <w:sz w:val="15"/>
                      <w:szCs w:val="15"/>
                    </w:rPr>
                  </w:pPr>
                  <w:r w:rsidRPr="001B4C86">
                    <w:rPr>
                      <w:rFonts w:cs="Arial"/>
                      <w:sz w:val="15"/>
                      <w:szCs w:val="15"/>
                    </w:rPr>
                    <w:t>15</w:t>
                  </w:r>
                </w:p>
                <w:p w14:paraId="66B5526D" w14:textId="77777777" w:rsidR="0049294F" w:rsidRPr="001B4C86" w:rsidRDefault="0049294F" w:rsidP="0049294F">
                  <w:pPr>
                    <w:adjustRightInd w:val="0"/>
                    <w:spacing w:after="0"/>
                    <w:jc w:val="center"/>
                    <w:rPr>
                      <w:rFonts w:cs="Arial"/>
                      <w:sz w:val="15"/>
                      <w:szCs w:val="15"/>
                    </w:rPr>
                  </w:pPr>
                  <w:r w:rsidRPr="001B4C86">
                    <w:rPr>
                      <w:rFonts w:cs="Arial"/>
                      <w:sz w:val="15"/>
                      <w:szCs w:val="15"/>
                    </w:rPr>
                    <w:t>40.5</w:t>
                  </w:r>
                </w:p>
                <w:p w14:paraId="55280D24" w14:textId="77777777" w:rsidR="0049294F" w:rsidRPr="001B4C86" w:rsidRDefault="0049294F" w:rsidP="0049294F">
                  <w:pPr>
                    <w:adjustRightInd w:val="0"/>
                    <w:spacing w:after="0"/>
                    <w:jc w:val="center"/>
                    <w:rPr>
                      <w:rFonts w:cs="Arial"/>
                      <w:sz w:val="15"/>
                      <w:szCs w:val="15"/>
                    </w:rPr>
                  </w:pPr>
                  <w:r w:rsidRPr="001B4C86">
                    <w:rPr>
                      <w:rFonts w:cs="Arial"/>
                      <w:sz w:val="15"/>
                      <w:szCs w:val="15"/>
                    </w:rPr>
                    <w:t>(26.7 to 58.0)</w:t>
                  </w:r>
                </w:p>
              </w:tc>
              <w:tc>
                <w:tcPr>
                  <w:tcW w:w="434" w:type="pct"/>
                  <w:tcBorders>
                    <w:left w:val="single" w:sz="4" w:space="0" w:color="auto"/>
                  </w:tcBorders>
                  <w:shd w:val="clear" w:color="auto" w:fill="auto"/>
                  <w:tcMar>
                    <w:left w:w="60" w:type="dxa"/>
                    <w:right w:w="60" w:type="dxa"/>
                  </w:tcMar>
                </w:tcPr>
                <w:p w14:paraId="74F3F116" w14:textId="77777777" w:rsidR="0049294F" w:rsidRPr="001B4C86" w:rsidRDefault="0049294F" w:rsidP="0049294F">
                  <w:pPr>
                    <w:adjustRightInd w:val="0"/>
                    <w:spacing w:after="0"/>
                    <w:jc w:val="center"/>
                    <w:rPr>
                      <w:rFonts w:cs="Arial"/>
                      <w:sz w:val="15"/>
                      <w:szCs w:val="15"/>
                    </w:rPr>
                  </w:pPr>
                  <w:r w:rsidRPr="001B4C86">
                    <w:rPr>
                      <w:rFonts w:cs="Arial"/>
                      <w:sz w:val="15"/>
                      <w:szCs w:val="15"/>
                    </w:rPr>
                    <w:t xml:space="preserve">0.69 </w:t>
                  </w:r>
                </w:p>
                <w:p w14:paraId="4A45DF0E" w14:textId="65E93518" w:rsidR="0049294F" w:rsidRPr="001B4C86" w:rsidRDefault="0049294F" w:rsidP="0049294F">
                  <w:pPr>
                    <w:adjustRightInd w:val="0"/>
                    <w:spacing w:after="0"/>
                    <w:jc w:val="center"/>
                    <w:rPr>
                      <w:rFonts w:cs="Arial"/>
                      <w:sz w:val="15"/>
                      <w:szCs w:val="15"/>
                    </w:rPr>
                  </w:pPr>
                  <w:r w:rsidRPr="001B4C86">
                    <w:rPr>
                      <w:rFonts w:cs="Arial"/>
                      <w:sz w:val="15"/>
                      <w:szCs w:val="15"/>
                    </w:rPr>
                    <w:t>(0.35 to 1.34)</w:t>
                  </w:r>
                </w:p>
              </w:tc>
              <w:tc>
                <w:tcPr>
                  <w:tcW w:w="434" w:type="pct"/>
                  <w:shd w:val="clear" w:color="auto" w:fill="auto"/>
                  <w:tcMar>
                    <w:left w:w="60" w:type="dxa"/>
                    <w:right w:w="60" w:type="dxa"/>
                  </w:tcMar>
                </w:tcPr>
                <w:p w14:paraId="6C87BDE9" w14:textId="77777777" w:rsidR="0049294F" w:rsidRPr="001B4C86" w:rsidRDefault="0049294F" w:rsidP="0049294F">
                  <w:pPr>
                    <w:adjustRightInd w:val="0"/>
                    <w:spacing w:after="0"/>
                    <w:jc w:val="center"/>
                    <w:rPr>
                      <w:rFonts w:cs="Arial"/>
                      <w:sz w:val="15"/>
                      <w:szCs w:val="15"/>
                    </w:rPr>
                  </w:pPr>
                  <w:r w:rsidRPr="001B4C86">
                    <w:rPr>
                      <w:rFonts w:cs="Arial"/>
                      <w:sz w:val="15"/>
                      <w:szCs w:val="15"/>
                    </w:rPr>
                    <w:t>1.42</w:t>
                  </w:r>
                </w:p>
                <w:p w14:paraId="7090452E" w14:textId="4965B94B" w:rsidR="0049294F" w:rsidRPr="001B4C86" w:rsidRDefault="0049294F" w:rsidP="0049294F">
                  <w:pPr>
                    <w:adjustRightInd w:val="0"/>
                    <w:spacing w:after="0"/>
                    <w:jc w:val="center"/>
                    <w:rPr>
                      <w:rFonts w:cs="Arial"/>
                      <w:sz w:val="15"/>
                      <w:szCs w:val="15"/>
                    </w:rPr>
                  </w:pPr>
                  <w:r w:rsidRPr="001B4C86">
                    <w:rPr>
                      <w:rFonts w:cs="Arial"/>
                      <w:sz w:val="15"/>
                      <w:szCs w:val="15"/>
                    </w:rPr>
                    <w:t xml:space="preserve"> (0.70 to 2.87)</w:t>
                  </w:r>
                </w:p>
              </w:tc>
              <w:tc>
                <w:tcPr>
                  <w:tcW w:w="434" w:type="pct"/>
                  <w:shd w:val="clear" w:color="auto" w:fill="auto"/>
                </w:tcPr>
                <w:p w14:paraId="5DB3862D" w14:textId="77777777" w:rsidR="0049294F" w:rsidRPr="001B4C86" w:rsidRDefault="0049294F" w:rsidP="0049294F">
                  <w:pPr>
                    <w:adjustRightInd w:val="0"/>
                    <w:spacing w:after="0"/>
                    <w:jc w:val="center"/>
                    <w:rPr>
                      <w:rFonts w:cs="Arial"/>
                      <w:sz w:val="15"/>
                      <w:szCs w:val="15"/>
                    </w:rPr>
                  </w:pPr>
                  <w:r w:rsidRPr="001B4C86">
                    <w:rPr>
                      <w:rFonts w:cs="Arial"/>
                      <w:sz w:val="15"/>
                      <w:szCs w:val="15"/>
                    </w:rPr>
                    <w:t>0.52</w:t>
                  </w:r>
                </w:p>
                <w:p w14:paraId="40EC8C9F" w14:textId="19E661BB" w:rsidR="0049294F" w:rsidRPr="001B4C86" w:rsidRDefault="0049294F" w:rsidP="0049294F">
                  <w:pPr>
                    <w:adjustRightInd w:val="0"/>
                    <w:spacing w:after="0"/>
                    <w:jc w:val="center"/>
                    <w:rPr>
                      <w:rFonts w:cs="Arial"/>
                      <w:sz w:val="15"/>
                      <w:szCs w:val="15"/>
                    </w:rPr>
                  </w:pPr>
                  <w:r w:rsidRPr="001B4C86">
                    <w:rPr>
                      <w:rFonts w:cs="Arial"/>
                      <w:sz w:val="15"/>
                      <w:szCs w:val="15"/>
                    </w:rPr>
                    <w:t xml:space="preserve">(0.23 to 1.21) </w:t>
                  </w:r>
                </w:p>
              </w:tc>
              <w:tc>
                <w:tcPr>
                  <w:tcW w:w="434" w:type="pct"/>
                  <w:shd w:val="clear" w:color="auto" w:fill="auto"/>
                </w:tcPr>
                <w:p w14:paraId="6BB0570E" w14:textId="77777777" w:rsidR="0049294F" w:rsidRPr="001B4C86" w:rsidRDefault="0049294F" w:rsidP="0049294F">
                  <w:pPr>
                    <w:adjustRightInd w:val="0"/>
                    <w:spacing w:after="0"/>
                    <w:jc w:val="center"/>
                    <w:rPr>
                      <w:rFonts w:cs="Arial"/>
                      <w:sz w:val="15"/>
                      <w:szCs w:val="15"/>
                    </w:rPr>
                  </w:pPr>
                  <w:r w:rsidRPr="001B4C86">
                    <w:rPr>
                      <w:rFonts w:cs="Arial"/>
                      <w:sz w:val="15"/>
                      <w:szCs w:val="15"/>
                    </w:rPr>
                    <w:t>0.92</w:t>
                  </w:r>
                </w:p>
                <w:p w14:paraId="7AE442FC" w14:textId="1F92AD2C" w:rsidR="0049294F" w:rsidRPr="001B4C86" w:rsidRDefault="0049294F" w:rsidP="0049294F">
                  <w:pPr>
                    <w:adjustRightInd w:val="0"/>
                    <w:spacing w:after="0"/>
                    <w:jc w:val="center"/>
                    <w:rPr>
                      <w:rFonts w:cs="Arial"/>
                      <w:sz w:val="15"/>
                      <w:szCs w:val="15"/>
                    </w:rPr>
                  </w:pPr>
                  <w:r w:rsidRPr="001B4C86">
                    <w:rPr>
                      <w:rFonts w:cs="Arial"/>
                      <w:sz w:val="15"/>
                      <w:szCs w:val="15"/>
                    </w:rPr>
                    <w:t>(0.44 to 1.93)</w:t>
                  </w:r>
                </w:p>
              </w:tc>
              <w:tc>
                <w:tcPr>
                  <w:tcW w:w="434" w:type="pct"/>
                  <w:shd w:val="clear" w:color="auto" w:fill="auto"/>
                </w:tcPr>
                <w:p w14:paraId="21EAB057" w14:textId="590A2249" w:rsidR="0049294F" w:rsidRPr="001B4C86" w:rsidRDefault="0049294F" w:rsidP="0049294F">
                  <w:pPr>
                    <w:adjustRightInd w:val="0"/>
                    <w:spacing w:after="0"/>
                    <w:jc w:val="center"/>
                    <w:rPr>
                      <w:rFonts w:cs="Arial"/>
                      <w:sz w:val="15"/>
                      <w:szCs w:val="15"/>
                      <w:highlight w:val="yellow"/>
                    </w:rPr>
                  </w:pPr>
                  <w:r w:rsidRPr="001B4C86">
                    <w:rPr>
                      <w:rFonts w:cs="Arial"/>
                      <w:sz w:val="15"/>
                      <w:szCs w:val="15"/>
                    </w:rPr>
                    <w:t>0.04</w:t>
                  </w:r>
                </w:p>
              </w:tc>
            </w:tr>
          </w:tbl>
          <w:p w14:paraId="5E0413A7" w14:textId="4CC6C61A" w:rsidR="005D01EA" w:rsidRPr="001B4C86" w:rsidRDefault="005D01EA" w:rsidP="004F4BF4"/>
        </w:tc>
      </w:tr>
      <w:tr w:rsidR="005C0B7E" w14:paraId="7B771F1E" w14:textId="77777777" w:rsidTr="00D36E9B">
        <w:trPr>
          <w:trHeight w:val="4535"/>
        </w:trPr>
        <w:tc>
          <w:tcPr>
            <w:tcW w:w="2502" w:type="pct"/>
          </w:tcPr>
          <w:p w14:paraId="184FA28A" w14:textId="02A0DE6A" w:rsidR="005D01EA" w:rsidRDefault="00617727" w:rsidP="004F4BF4">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617727">
              <w:rPr>
                <w:noProof/>
              </w:rPr>
              <w:drawing>
                <wp:inline distT="0" distB="0" distL="0" distR="0" wp14:anchorId="4DB8B1E3" wp14:editId="68B4FED3">
                  <wp:extent cx="4232274" cy="2819400"/>
                  <wp:effectExtent l="0" t="0" r="0" b="0"/>
                  <wp:docPr id="1" name="Picture 1" descr="C:\Users\smolloy\Desktop\LTFU_Graphs\test_EPS_TO_TIFF_10wk.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olloy\Desktop\LTFU_Graphs\test_EPS_TO_TIFF_10wk.tif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0332" cy="2824768"/>
                          </a:xfrm>
                          <a:prstGeom prst="rect">
                            <a:avLst/>
                          </a:prstGeom>
                          <a:noFill/>
                          <a:ln>
                            <a:noFill/>
                          </a:ln>
                        </pic:spPr>
                      </pic:pic>
                    </a:graphicData>
                  </a:graphic>
                </wp:inline>
              </w:drawing>
            </w:r>
          </w:p>
        </w:tc>
        <w:tc>
          <w:tcPr>
            <w:tcW w:w="2498" w:type="pct"/>
          </w:tcPr>
          <w:p w14:paraId="18792B19" w14:textId="1FF26E80" w:rsidR="005D01EA" w:rsidRDefault="00617727" w:rsidP="004F4BF4">
            <w:r w:rsidRPr="00617727">
              <w:rPr>
                <w:noProof/>
              </w:rPr>
              <w:drawing>
                <wp:inline distT="0" distB="0" distL="0" distR="0" wp14:anchorId="4A5D87B6" wp14:editId="6751CC41">
                  <wp:extent cx="4248150" cy="2829976"/>
                  <wp:effectExtent l="0" t="0" r="0" b="8890"/>
                  <wp:docPr id="2" name="Picture 2" descr="C:\Users\smolloy\Desktop\LTFU_Graphs\test_EPS_TO_TIFF_1y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olloy\Desktop\LTFU_Graphs\test_EPS_TO_TIFF_1yr.ti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153" cy="2842635"/>
                          </a:xfrm>
                          <a:prstGeom prst="rect">
                            <a:avLst/>
                          </a:prstGeom>
                          <a:noFill/>
                          <a:ln>
                            <a:noFill/>
                          </a:ln>
                        </pic:spPr>
                      </pic:pic>
                    </a:graphicData>
                  </a:graphic>
                </wp:inline>
              </w:drawing>
            </w:r>
            <w:r w:rsidR="00D36E9B">
              <w:t xml:space="preserve"> </w:t>
            </w:r>
          </w:p>
        </w:tc>
      </w:tr>
    </w:tbl>
    <w:p w14:paraId="6DF9C6BD" w14:textId="403BFF49" w:rsidR="00D36E9B" w:rsidRDefault="005D01EA" w:rsidP="00D36E9B">
      <w:pPr>
        <w:rPr>
          <w:rFonts w:ascii="Arial" w:eastAsia="OTNEJMScalaSansLF" w:hAnsi="Arial" w:cs="Arial"/>
          <w:sz w:val="24"/>
          <w:szCs w:val="24"/>
        </w:rPr>
      </w:pPr>
      <w:r w:rsidRPr="00D36E9B">
        <w:rPr>
          <w:rFonts w:ascii="Arial" w:hAnsi="Arial" w:cs="Arial"/>
          <w:sz w:val="24"/>
          <w:szCs w:val="24"/>
        </w:rPr>
        <w:t>Figure 1. Panel A, Time to event outcomes by 5 treatment arms (Intention-to-treat, adjusted analysis; N=224)</w:t>
      </w:r>
      <w:r w:rsidR="00D36E9B" w:rsidRPr="00D36E9B">
        <w:rPr>
          <w:rFonts w:ascii="Arial" w:hAnsi="Arial" w:cs="Arial"/>
          <w:sz w:val="24"/>
          <w:szCs w:val="24"/>
        </w:rPr>
        <w:t xml:space="preserve">. Panels B and C show the </w:t>
      </w:r>
      <w:r w:rsidR="00D36E9B" w:rsidRPr="00D36E9B">
        <w:rPr>
          <w:rFonts w:ascii="Arial" w:eastAsia="OTNEJMScalaSansLF" w:hAnsi="Arial" w:cs="Arial"/>
          <w:sz w:val="24"/>
          <w:szCs w:val="24"/>
        </w:rPr>
        <w:t xml:space="preserve">cumulative all-cause mortality by 5 treatment arms up to 10 weeks </w:t>
      </w:r>
      <w:r w:rsidR="00B81B2E">
        <w:rPr>
          <w:rFonts w:ascii="Arial" w:eastAsia="OTNEJMScalaSansLF" w:hAnsi="Arial" w:cs="Arial"/>
          <w:sz w:val="24"/>
          <w:szCs w:val="24"/>
        </w:rPr>
        <w:t>(Panel B</w:t>
      </w:r>
      <w:r w:rsidR="00D36E9B" w:rsidRPr="00D36E9B">
        <w:rPr>
          <w:rFonts w:ascii="Arial" w:eastAsia="OTNEJMScalaSansLF" w:hAnsi="Arial" w:cs="Arial"/>
          <w:sz w:val="24"/>
          <w:szCs w:val="24"/>
        </w:rPr>
        <w:t xml:space="preserve">) and </w:t>
      </w:r>
      <w:proofErr w:type="gramStart"/>
      <w:r w:rsidR="00D36E9B" w:rsidRPr="00D36E9B">
        <w:rPr>
          <w:rFonts w:ascii="Arial" w:eastAsia="OTNEJMScalaSansLF" w:hAnsi="Arial" w:cs="Arial"/>
          <w:sz w:val="24"/>
          <w:szCs w:val="24"/>
        </w:rPr>
        <w:t>1 year</w:t>
      </w:r>
      <w:proofErr w:type="gramEnd"/>
      <w:r w:rsidR="00D36E9B" w:rsidRPr="00D36E9B">
        <w:rPr>
          <w:rFonts w:ascii="Arial" w:eastAsia="OTNEJMScalaSansLF" w:hAnsi="Arial" w:cs="Arial"/>
          <w:sz w:val="24"/>
          <w:szCs w:val="24"/>
        </w:rPr>
        <w:t xml:space="preserve"> (Panel </w:t>
      </w:r>
      <w:r w:rsidR="00B81B2E">
        <w:rPr>
          <w:rFonts w:ascii="Arial" w:eastAsia="OTNEJMScalaSansLF" w:hAnsi="Arial" w:cs="Arial"/>
          <w:sz w:val="24"/>
          <w:szCs w:val="24"/>
        </w:rPr>
        <w:t>C</w:t>
      </w:r>
      <w:r w:rsidR="00D36E9B" w:rsidRPr="00D36E9B">
        <w:rPr>
          <w:rFonts w:ascii="Arial" w:eastAsia="OTNEJMScalaSansLF" w:hAnsi="Arial" w:cs="Arial"/>
          <w:sz w:val="24"/>
          <w:szCs w:val="24"/>
        </w:rPr>
        <w:t>)</w:t>
      </w:r>
      <w:r w:rsidR="00D36E9B">
        <w:rPr>
          <w:rFonts w:ascii="Arial" w:eastAsia="OTNEJMScalaSansLF" w:hAnsi="Arial" w:cs="Arial"/>
          <w:sz w:val="24"/>
          <w:szCs w:val="24"/>
        </w:rPr>
        <w:t xml:space="preserve"> post randomization. </w:t>
      </w:r>
    </w:p>
    <w:p w14:paraId="7069BD45" w14:textId="5183A7E2" w:rsidR="00700186" w:rsidRDefault="00700186" w:rsidP="00D36E9B">
      <w:pPr>
        <w:rPr>
          <w:rFonts w:ascii="Arial" w:hAnsi="Arial" w:cs="Arial"/>
          <w:sz w:val="18"/>
          <w:szCs w:val="18"/>
        </w:rPr>
      </w:pPr>
      <w:r w:rsidRPr="00E74124">
        <w:rPr>
          <w:rFonts w:ascii="Arial" w:hAnsi="Arial" w:cs="Arial"/>
          <w:sz w:val="18"/>
          <w:szCs w:val="18"/>
        </w:rPr>
        <w:t>*log rank p-value for the unadjusted analysis</w:t>
      </w:r>
    </w:p>
    <w:p w14:paraId="598B4E91" w14:textId="77777777" w:rsidR="0049294F" w:rsidRPr="00E74124" w:rsidRDefault="0049294F" w:rsidP="00D36E9B">
      <w:pPr>
        <w:rPr>
          <w:rFonts w:ascii="Arial" w:hAnsi="Arial" w:cs="Arial"/>
          <w:sz w:val="18"/>
          <w:szCs w:val="18"/>
        </w:rPr>
        <w:sectPr w:rsidR="0049294F" w:rsidRPr="00E74124" w:rsidSect="001432B2">
          <w:pgSz w:w="16820" w:h="11900" w:orient="landscape"/>
          <w:pgMar w:top="720" w:right="720" w:bottom="720" w:left="720" w:header="708" w:footer="708" w:gutter="0"/>
          <w:cols w:space="708"/>
          <w:docGrid w:linePitch="360"/>
        </w:sectPr>
      </w:pPr>
    </w:p>
    <w:p w14:paraId="009EA648" w14:textId="6ACA546B" w:rsidR="004F4BF4" w:rsidRPr="00D36E9B" w:rsidRDefault="004F4BF4" w:rsidP="00D36E9B">
      <w:pPr>
        <w:rPr>
          <w:rFonts w:ascii="Arial" w:hAnsi="Arial" w:cs="Arial"/>
          <w:sz w:val="24"/>
          <w:szCs w:val="24"/>
        </w:rPr>
      </w:pPr>
      <w:bookmarkStart w:id="8" w:name="IDX"/>
      <w:bookmarkEnd w:id="8"/>
    </w:p>
    <w:p w14:paraId="615DC20A" w14:textId="646D654A" w:rsidR="004F4BF4" w:rsidRDefault="004F4BF4" w:rsidP="004F4BF4">
      <w:pPr>
        <w:autoSpaceDE w:val="0"/>
        <w:autoSpaceDN w:val="0"/>
        <w:adjustRightInd w:val="0"/>
        <w:spacing w:after="0" w:line="480" w:lineRule="auto"/>
        <w:rPr>
          <w:rFonts w:ascii="Arial" w:eastAsia="OTNEJMQuadraat" w:hAnsi="Arial" w:cs="Arial"/>
          <w:sz w:val="24"/>
          <w:szCs w:val="24"/>
        </w:rPr>
      </w:pPr>
      <w:r w:rsidRPr="00557839">
        <w:rPr>
          <w:rFonts w:ascii="Arial" w:eastAsia="OTNEJMQuadraat" w:hAnsi="Arial" w:cs="Arial"/>
          <w:b/>
          <w:sz w:val="24"/>
          <w:szCs w:val="24"/>
        </w:rPr>
        <w:t>Acknowledgements</w:t>
      </w:r>
      <w:r w:rsidRPr="00557839">
        <w:rPr>
          <w:rFonts w:ascii="Arial" w:eastAsia="OTNEJMQuadraat" w:hAnsi="Arial" w:cs="Arial"/>
          <w:sz w:val="24"/>
          <w:szCs w:val="24"/>
        </w:rPr>
        <w:t xml:space="preserve">: The ACTA trial was supported by grants from the Medical Research Council, United Kingdom (100504) and the French Agency for Research on AIDS and Viral Hepatitis (ANRS) (ANRS12275). We thank all the patients and their families; </w:t>
      </w:r>
      <w:r w:rsidR="00EC33B3">
        <w:rPr>
          <w:rFonts w:ascii="Arial" w:eastAsia="OTNEJMQuadraat" w:hAnsi="Arial" w:cs="Arial"/>
          <w:sz w:val="24"/>
          <w:szCs w:val="24"/>
        </w:rPr>
        <w:t xml:space="preserve">the nursing team Emily </w:t>
      </w:r>
      <w:proofErr w:type="spellStart"/>
      <w:r w:rsidR="00EC33B3">
        <w:rPr>
          <w:rFonts w:ascii="Arial" w:eastAsia="OTNEJMQuadraat" w:hAnsi="Arial" w:cs="Arial"/>
          <w:sz w:val="24"/>
          <w:szCs w:val="24"/>
        </w:rPr>
        <w:t>Kumwend</w:t>
      </w:r>
      <w:r w:rsidR="00697144">
        <w:rPr>
          <w:rFonts w:ascii="Arial" w:eastAsia="OTNEJMQuadraat" w:hAnsi="Arial" w:cs="Arial"/>
          <w:sz w:val="24"/>
          <w:szCs w:val="24"/>
        </w:rPr>
        <w:t>a</w:t>
      </w:r>
      <w:proofErr w:type="spellEnd"/>
      <w:r w:rsidR="00EC33B3">
        <w:rPr>
          <w:rFonts w:ascii="Arial" w:eastAsia="OTNEJMQuadraat" w:hAnsi="Arial" w:cs="Arial"/>
          <w:sz w:val="24"/>
          <w:szCs w:val="24"/>
        </w:rPr>
        <w:t xml:space="preserve">, Grace </w:t>
      </w:r>
      <w:proofErr w:type="spellStart"/>
      <w:r w:rsidR="00EC33B3">
        <w:rPr>
          <w:rFonts w:ascii="Arial" w:eastAsia="OTNEJMQuadraat" w:hAnsi="Arial" w:cs="Arial"/>
          <w:sz w:val="24"/>
          <w:szCs w:val="24"/>
        </w:rPr>
        <w:t>Kaphale</w:t>
      </w:r>
      <w:proofErr w:type="spellEnd"/>
      <w:r w:rsidR="00EC33B3">
        <w:rPr>
          <w:rFonts w:ascii="Arial" w:eastAsia="OTNEJMQuadraat" w:hAnsi="Arial" w:cs="Arial"/>
          <w:sz w:val="24"/>
          <w:szCs w:val="24"/>
        </w:rPr>
        <w:t xml:space="preserve"> and Eliana </w:t>
      </w:r>
      <w:proofErr w:type="spellStart"/>
      <w:r w:rsidR="00EC33B3">
        <w:rPr>
          <w:rFonts w:ascii="Arial" w:eastAsia="OTNEJMQuadraat" w:hAnsi="Arial" w:cs="Arial"/>
          <w:sz w:val="24"/>
          <w:szCs w:val="24"/>
        </w:rPr>
        <w:t>Nyondo</w:t>
      </w:r>
      <w:proofErr w:type="spellEnd"/>
      <w:r w:rsidR="00EC33B3">
        <w:rPr>
          <w:rFonts w:ascii="Arial" w:eastAsia="OTNEJMQuadraat" w:hAnsi="Arial" w:cs="Arial"/>
          <w:sz w:val="24"/>
          <w:szCs w:val="24"/>
        </w:rPr>
        <w:t>;</w:t>
      </w:r>
      <w:r w:rsidR="006A710C">
        <w:rPr>
          <w:rFonts w:ascii="Arial" w:eastAsia="OTNEJMQuadraat" w:hAnsi="Arial" w:cs="Arial"/>
          <w:sz w:val="24"/>
          <w:szCs w:val="24"/>
        </w:rPr>
        <w:t xml:space="preserve"> </w:t>
      </w:r>
      <w:r w:rsidRPr="00557839">
        <w:rPr>
          <w:rFonts w:ascii="Arial" w:eastAsia="OTNEJMQuadraat" w:hAnsi="Arial" w:cs="Arial"/>
          <w:sz w:val="24"/>
          <w:szCs w:val="24"/>
        </w:rPr>
        <w:t xml:space="preserve">Andrew Nunn, Halima Dawood, Andrew </w:t>
      </w:r>
      <w:proofErr w:type="spellStart"/>
      <w:r w:rsidRPr="00557839">
        <w:rPr>
          <w:rFonts w:ascii="Arial" w:eastAsia="OTNEJMQuadraat" w:hAnsi="Arial" w:cs="Arial"/>
          <w:sz w:val="24"/>
          <w:szCs w:val="24"/>
        </w:rPr>
        <w:t>Kitua</w:t>
      </w:r>
      <w:proofErr w:type="spellEnd"/>
      <w:r w:rsidRPr="00557839">
        <w:rPr>
          <w:rFonts w:ascii="Arial" w:eastAsia="OTNEJMQuadraat" w:hAnsi="Arial" w:cs="Arial"/>
          <w:sz w:val="24"/>
          <w:szCs w:val="24"/>
        </w:rPr>
        <w:t xml:space="preserve">, and William Powderly for serving on the data and safety monitoring committee; Graeme </w:t>
      </w:r>
      <w:proofErr w:type="spellStart"/>
      <w:r w:rsidRPr="00557839">
        <w:rPr>
          <w:rFonts w:ascii="Arial" w:eastAsia="OTNEJMQuadraat" w:hAnsi="Arial" w:cs="Arial"/>
          <w:sz w:val="24"/>
          <w:szCs w:val="24"/>
        </w:rPr>
        <w:t>Meintjes</w:t>
      </w:r>
      <w:proofErr w:type="spellEnd"/>
      <w:r w:rsidRPr="00557839">
        <w:rPr>
          <w:rFonts w:ascii="Arial" w:eastAsia="OTNEJMQuadraat" w:hAnsi="Arial" w:cs="Arial"/>
          <w:sz w:val="24"/>
          <w:szCs w:val="24"/>
        </w:rPr>
        <w:t xml:space="preserve">, </w:t>
      </w:r>
      <w:proofErr w:type="spellStart"/>
      <w:r w:rsidRPr="00557839">
        <w:rPr>
          <w:rFonts w:ascii="Arial" w:eastAsia="OTNEJMQuadraat" w:hAnsi="Arial" w:cs="Arial"/>
          <w:sz w:val="24"/>
          <w:szCs w:val="24"/>
        </w:rPr>
        <w:t>Calice</w:t>
      </w:r>
      <w:proofErr w:type="spellEnd"/>
      <w:r w:rsidRPr="00557839">
        <w:rPr>
          <w:rFonts w:ascii="Arial" w:eastAsia="OTNEJMQuadraat" w:hAnsi="Arial" w:cs="Arial"/>
          <w:sz w:val="24"/>
          <w:szCs w:val="24"/>
        </w:rPr>
        <w:t xml:space="preserve"> </w:t>
      </w:r>
      <w:proofErr w:type="spellStart"/>
      <w:r w:rsidRPr="00557839">
        <w:rPr>
          <w:rFonts w:ascii="Arial" w:eastAsia="OTNEJMQuadraat" w:hAnsi="Arial" w:cs="Arial"/>
          <w:sz w:val="24"/>
          <w:szCs w:val="24"/>
        </w:rPr>
        <w:t>Talom</w:t>
      </w:r>
      <w:proofErr w:type="spellEnd"/>
      <w:r w:rsidRPr="00557839">
        <w:rPr>
          <w:rFonts w:ascii="Arial" w:eastAsia="OTNEJMQuadraat" w:hAnsi="Arial" w:cs="Arial"/>
          <w:sz w:val="24"/>
          <w:szCs w:val="24"/>
        </w:rPr>
        <w:t xml:space="preserve">, Newton </w:t>
      </w:r>
      <w:proofErr w:type="spellStart"/>
      <w:r w:rsidRPr="00557839">
        <w:rPr>
          <w:rFonts w:ascii="Arial" w:eastAsia="OTNEJMQuadraat" w:hAnsi="Arial" w:cs="Arial"/>
          <w:sz w:val="24"/>
          <w:szCs w:val="24"/>
        </w:rPr>
        <w:t>Kumwenda</w:t>
      </w:r>
      <w:proofErr w:type="spellEnd"/>
      <w:r w:rsidRPr="00557839">
        <w:rPr>
          <w:rFonts w:ascii="Arial" w:eastAsia="OTNEJMQuadraat" w:hAnsi="Arial" w:cs="Arial"/>
          <w:sz w:val="24"/>
          <w:szCs w:val="24"/>
        </w:rPr>
        <w:t xml:space="preserve">, and </w:t>
      </w:r>
      <w:proofErr w:type="spellStart"/>
      <w:r w:rsidRPr="00557839">
        <w:rPr>
          <w:rFonts w:ascii="Arial" w:eastAsia="OTNEJMQuadraat" w:hAnsi="Arial" w:cs="Arial"/>
          <w:sz w:val="24"/>
          <w:szCs w:val="24"/>
        </w:rPr>
        <w:t>Maryline</w:t>
      </w:r>
      <w:proofErr w:type="spellEnd"/>
      <w:r w:rsidRPr="00557839">
        <w:rPr>
          <w:rFonts w:ascii="Arial" w:eastAsia="OTNEJMQuadraat" w:hAnsi="Arial" w:cs="Arial"/>
          <w:sz w:val="24"/>
          <w:szCs w:val="24"/>
        </w:rPr>
        <w:t xml:space="preserve"> Bonnet for serving on the trial steering committee. </w:t>
      </w:r>
    </w:p>
    <w:p w14:paraId="7236F2EF" w14:textId="144FBDC3" w:rsidR="00CC3CCB" w:rsidRPr="00CC3CCB" w:rsidRDefault="00CC3CCB" w:rsidP="00CC3CCB">
      <w:pPr>
        <w:widowControl w:val="0"/>
        <w:autoSpaceDE w:val="0"/>
        <w:autoSpaceDN w:val="0"/>
        <w:adjustRightInd w:val="0"/>
        <w:spacing w:after="0" w:line="240" w:lineRule="auto"/>
        <w:rPr>
          <w:rFonts w:ascii="Arial" w:hAnsi="Arial" w:cs="Arial"/>
          <w:color w:val="000000"/>
          <w:sz w:val="23"/>
          <w:szCs w:val="23"/>
          <w:lang w:val="en-US"/>
        </w:rPr>
      </w:pPr>
    </w:p>
    <w:p w14:paraId="3E7182D5" w14:textId="39C32C2F" w:rsidR="00CC3CCB" w:rsidRPr="001E563C" w:rsidRDefault="00CC3CCB" w:rsidP="00CC3CCB">
      <w:pPr>
        <w:autoSpaceDE w:val="0"/>
        <w:autoSpaceDN w:val="0"/>
        <w:adjustRightInd w:val="0"/>
        <w:spacing w:after="0" w:line="480" w:lineRule="auto"/>
        <w:rPr>
          <w:rFonts w:ascii="Arial" w:eastAsia="OTNEJMQuadraat" w:hAnsi="Arial" w:cs="Arial"/>
          <w:sz w:val="24"/>
          <w:szCs w:val="24"/>
        </w:rPr>
        <w:sectPr w:rsidR="00CC3CCB" w:rsidRPr="001E563C" w:rsidSect="00035F8C">
          <w:footerReference w:type="even" r:id="rId13"/>
          <w:footerReference w:type="default" r:id="rId14"/>
          <w:pgSz w:w="11900" w:h="16820"/>
          <w:pgMar w:top="1440" w:right="1440" w:bottom="1440" w:left="1440" w:header="708" w:footer="708" w:gutter="0"/>
          <w:cols w:space="708"/>
          <w:docGrid w:linePitch="360"/>
        </w:sectPr>
      </w:pPr>
      <w:r w:rsidRPr="00CC3CCB">
        <w:rPr>
          <w:rFonts w:ascii="Arial" w:hAnsi="Arial" w:cs="Arial"/>
          <w:b/>
          <w:bCs/>
          <w:color w:val="000000"/>
          <w:sz w:val="23"/>
          <w:szCs w:val="23"/>
          <w:lang w:val="en-US"/>
        </w:rPr>
        <w:t xml:space="preserve">Potential Conflicts of Interest. </w:t>
      </w:r>
      <w:r w:rsidRPr="00CC3CCB">
        <w:rPr>
          <w:rFonts w:ascii="Arial" w:hAnsi="Arial" w:cs="Arial"/>
          <w:color w:val="000000"/>
          <w:sz w:val="23"/>
          <w:szCs w:val="23"/>
          <w:lang w:val="en-US"/>
        </w:rPr>
        <w:t xml:space="preserve">T.S.H. received speaker fees from Pfizer and Gilead, consultancy from </w:t>
      </w:r>
      <w:proofErr w:type="spellStart"/>
      <w:r w:rsidRPr="00CC3CCB">
        <w:rPr>
          <w:rFonts w:ascii="Arial" w:hAnsi="Arial" w:cs="Arial"/>
          <w:color w:val="000000"/>
          <w:sz w:val="23"/>
          <w:szCs w:val="23"/>
          <w:lang w:val="en-US"/>
        </w:rPr>
        <w:t>Viamet</w:t>
      </w:r>
      <w:proofErr w:type="spellEnd"/>
      <w:r w:rsidRPr="00CC3CCB">
        <w:rPr>
          <w:rFonts w:ascii="Arial" w:hAnsi="Arial" w:cs="Arial"/>
          <w:color w:val="000000"/>
          <w:sz w:val="23"/>
          <w:szCs w:val="23"/>
          <w:lang w:val="en-US"/>
        </w:rPr>
        <w:t>, and a grant from Gilead, outside the work. All other authors report no potential conflicts. The authors have submitted the ICMJE Form for Disclosure of Potential Conflicts of Interest</w:t>
      </w:r>
      <w:r w:rsidR="0022531E">
        <w:rPr>
          <w:rFonts w:ascii="Arial" w:hAnsi="Arial" w:cs="Arial"/>
          <w:color w:val="000000"/>
          <w:sz w:val="23"/>
          <w:szCs w:val="23"/>
          <w:lang w:val="en-US"/>
        </w:rPr>
        <w:t>.</w:t>
      </w:r>
    </w:p>
    <w:p w14:paraId="74587573" w14:textId="77777777" w:rsidR="004F4BF4" w:rsidRDefault="004F4BF4" w:rsidP="0022531E">
      <w:pPr>
        <w:rPr>
          <w:rFonts w:ascii="Times New Roman" w:hAnsi="Times New Roman" w:cs="Times New Roman"/>
          <w:b/>
          <w:sz w:val="24"/>
          <w:szCs w:val="24"/>
        </w:rPr>
      </w:pPr>
    </w:p>
    <w:p w14:paraId="0DF8EA87" w14:textId="70BF61C1" w:rsidR="00776D8E" w:rsidRPr="00E774BF" w:rsidRDefault="00776D8E" w:rsidP="004F4BF4">
      <w:pPr>
        <w:jc w:val="center"/>
        <w:rPr>
          <w:rFonts w:ascii="Times New Roman" w:hAnsi="Times New Roman" w:cs="Times New Roman"/>
          <w:noProof/>
          <w:sz w:val="24"/>
          <w:szCs w:val="24"/>
        </w:rPr>
      </w:pPr>
      <w:r w:rsidRPr="00E57A96">
        <w:rPr>
          <w:rFonts w:ascii="Times New Roman" w:hAnsi="Times New Roman" w:cs="Times New Roman"/>
          <w:b/>
          <w:sz w:val="24"/>
          <w:szCs w:val="24"/>
        </w:rPr>
        <w:t>Reference</w:t>
      </w:r>
      <w:r w:rsidR="006B2B0B" w:rsidRPr="00E57A96">
        <w:rPr>
          <w:rFonts w:ascii="Times New Roman" w:hAnsi="Times New Roman" w:cs="Times New Roman"/>
          <w:b/>
          <w:sz w:val="24"/>
          <w:szCs w:val="24"/>
        </w:rPr>
        <w:t>s</w:t>
      </w:r>
    </w:p>
    <w:p w14:paraId="49D88161" w14:textId="77777777" w:rsidR="00586059" w:rsidRPr="00586059" w:rsidRDefault="00776D8E" w:rsidP="00586059">
      <w:pPr>
        <w:pStyle w:val="EndNoteBibliography"/>
        <w:spacing w:after="0"/>
        <w:ind w:left="720" w:hanging="720"/>
      </w:pPr>
      <w:r w:rsidRPr="00E57A96">
        <w:rPr>
          <w:rFonts w:ascii="Times New Roman" w:hAnsi="Times New Roman" w:cs="Times New Roman"/>
          <w:sz w:val="24"/>
          <w:szCs w:val="24"/>
        </w:rPr>
        <w:fldChar w:fldCharType="begin"/>
      </w:r>
      <w:r w:rsidRPr="00E57A96">
        <w:rPr>
          <w:rFonts w:ascii="Times New Roman" w:hAnsi="Times New Roman" w:cs="Times New Roman"/>
          <w:sz w:val="24"/>
          <w:szCs w:val="24"/>
        </w:rPr>
        <w:instrText xml:space="preserve"> ADDIN EN.REFLIST </w:instrText>
      </w:r>
      <w:r w:rsidRPr="00E57A96">
        <w:rPr>
          <w:rFonts w:ascii="Times New Roman" w:hAnsi="Times New Roman" w:cs="Times New Roman"/>
          <w:sz w:val="24"/>
          <w:szCs w:val="24"/>
        </w:rPr>
        <w:fldChar w:fldCharType="separate"/>
      </w:r>
      <w:r w:rsidR="00586059" w:rsidRPr="00586059">
        <w:t>1.</w:t>
      </w:r>
      <w:r w:rsidR="00586059" w:rsidRPr="00586059">
        <w:tab/>
        <w:t xml:space="preserve">Rajasingham R, Smith RM, Park BJ, et al. Global burden of disease of HIV-associated cryptococcal meningitis: an updated analysis. Lancet Infect Dis </w:t>
      </w:r>
      <w:r w:rsidR="00586059" w:rsidRPr="00586059">
        <w:rPr>
          <w:b/>
        </w:rPr>
        <w:t>2017</w:t>
      </w:r>
      <w:r w:rsidR="00586059" w:rsidRPr="00586059">
        <w:t>; 17(8): 873-81.</w:t>
      </w:r>
    </w:p>
    <w:p w14:paraId="5E871ACD" w14:textId="77777777" w:rsidR="00586059" w:rsidRPr="00586059" w:rsidRDefault="00586059" w:rsidP="00586059">
      <w:pPr>
        <w:pStyle w:val="EndNoteBibliography"/>
        <w:spacing w:after="0"/>
        <w:ind w:left="720" w:hanging="720"/>
      </w:pPr>
      <w:r w:rsidRPr="00586059">
        <w:t>2.</w:t>
      </w:r>
      <w:r w:rsidRPr="00586059">
        <w:tab/>
        <w:t xml:space="preserve">Gaskell KM, Rothe C, Gnanadurai R, et al. A prospective study of mortality from cryptococcal meningitis following treatment induction with 1200 mg oral fluconazole in Blantyre, Malawi. PLoS One </w:t>
      </w:r>
      <w:r w:rsidRPr="00586059">
        <w:rPr>
          <w:b/>
        </w:rPr>
        <w:t>2014</w:t>
      </w:r>
      <w:r w:rsidRPr="00586059">
        <w:t>; 9(11): e110285.</w:t>
      </w:r>
    </w:p>
    <w:p w14:paraId="501F9DD4" w14:textId="77777777" w:rsidR="00586059" w:rsidRPr="00586059" w:rsidRDefault="00586059" w:rsidP="00586059">
      <w:pPr>
        <w:pStyle w:val="EndNoteBibliography"/>
        <w:spacing w:after="0"/>
        <w:ind w:left="720" w:hanging="720"/>
      </w:pPr>
      <w:r w:rsidRPr="00586059">
        <w:t>3.</w:t>
      </w:r>
      <w:r w:rsidRPr="00586059">
        <w:tab/>
        <w:t xml:space="preserve">Longley N, Muzoora C, Taseera K, et al. Dose response effect of high-dose fluconazole for HIV-associated cryptococcal meningitis in southwestern Uganda. Clin Infect Dis </w:t>
      </w:r>
      <w:r w:rsidRPr="00586059">
        <w:rPr>
          <w:b/>
        </w:rPr>
        <w:t>2008</w:t>
      </w:r>
      <w:r w:rsidRPr="00586059">
        <w:t>; 47(12): 1556-61.</w:t>
      </w:r>
    </w:p>
    <w:p w14:paraId="73CD4B69" w14:textId="77777777" w:rsidR="00586059" w:rsidRPr="00586059" w:rsidRDefault="00586059" w:rsidP="00586059">
      <w:pPr>
        <w:pStyle w:val="EndNoteBibliography"/>
        <w:spacing w:after="0"/>
        <w:ind w:left="720" w:hanging="720"/>
      </w:pPr>
      <w:r w:rsidRPr="00586059">
        <w:t>4.</w:t>
      </w:r>
      <w:r w:rsidRPr="00586059">
        <w:tab/>
        <w:t xml:space="preserve">Rothe C, Sloan DJ, Goodson P, et al. A prospective longitudinal study of the clinical outcomes from cryptococcal meningitis following treatment induction with 800 mg oral fluconazole in Blantyre, Malawi. PLoS One </w:t>
      </w:r>
      <w:r w:rsidRPr="00586059">
        <w:rPr>
          <w:b/>
        </w:rPr>
        <w:t>2013</w:t>
      </w:r>
      <w:r w:rsidRPr="00586059">
        <w:t>; 8(6): e67311.</w:t>
      </w:r>
    </w:p>
    <w:p w14:paraId="61D8303C" w14:textId="77777777" w:rsidR="00586059" w:rsidRPr="00586059" w:rsidRDefault="00586059" w:rsidP="00586059">
      <w:pPr>
        <w:pStyle w:val="EndNoteBibliography"/>
        <w:spacing w:after="0"/>
        <w:ind w:left="720" w:hanging="720"/>
      </w:pPr>
      <w:r w:rsidRPr="00586059">
        <w:t>5.</w:t>
      </w:r>
      <w:r w:rsidRPr="00586059">
        <w:tab/>
        <w:t xml:space="preserve">Nussbaum JC, Jackson A, Namarika D, et al. Combination flucytosine and high-dose fluconazole compared with fluconazole monotherapy for the treatment of cryptococcal meningitis: a randomized trial in Malawi. Clin Infect Dis </w:t>
      </w:r>
      <w:r w:rsidRPr="00586059">
        <w:rPr>
          <w:b/>
        </w:rPr>
        <w:t>2010</w:t>
      </w:r>
      <w:r w:rsidRPr="00586059">
        <w:t>; 50(3): 338-44.</w:t>
      </w:r>
    </w:p>
    <w:p w14:paraId="6F7F3AA0" w14:textId="77777777" w:rsidR="00586059" w:rsidRPr="00586059" w:rsidRDefault="00586059" w:rsidP="00586059">
      <w:pPr>
        <w:pStyle w:val="EndNoteBibliography"/>
        <w:spacing w:after="0"/>
        <w:ind w:left="720" w:hanging="720"/>
      </w:pPr>
      <w:r w:rsidRPr="00586059">
        <w:t>6.</w:t>
      </w:r>
      <w:r w:rsidRPr="00586059">
        <w:tab/>
        <w:t xml:space="preserve">Molloy SF, Kanyama C, Heyderman RS, et al. Antifungal Combinations for Treatment of Cryptococcal Meningitis in Africa. The New England journal of medicine </w:t>
      </w:r>
      <w:r w:rsidRPr="00586059">
        <w:rPr>
          <w:b/>
        </w:rPr>
        <w:t>2018</w:t>
      </w:r>
      <w:r w:rsidRPr="00586059">
        <w:t>; 378(11): 1004-17.</w:t>
      </w:r>
    </w:p>
    <w:p w14:paraId="1B568543" w14:textId="77777777" w:rsidR="00586059" w:rsidRPr="00586059" w:rsidRDefault="00586059" w:rsidP="00586059">
      <w:pPr>
        <w:pStyle w:val="EndNoteBibliography"/>
        <w:spacing w:after="0"/>
        <w:ind w:left="720" w:hanging="720"/>
      </w:pPr>
      <w:r w:rsidRPr="00586059">
        <w:t>7.</w:t>
      </w:r>
      <w:r w:rsidRPr="00586059">
        <w:tab/>
        <w:t xml:space="preserve">Perfect JR, Dismukes WE, Dromer F, et al. Clinical Practice Guidelines for the Management of Cryptococcal Disease: 2010 Update by the Infectious Disease Society of America. Clinical Infectious Diseases </w:t>
      </w:r>
      <w:r w:rsidRPr="00586059">
        <w:rPr>
          <w:b/>
        </w:rPr>
        <w:t>2010</w:t>
      </w:r>
      <w:r w:rsidRPr="00586059">
        <w:t>; 50: 291-322.</w:t>
      </w:r>
    </w:p>
    <w:p w14:paraId="01633747" w14:textId="77777777" w:rsidR="00586059" w:rsidRPr="00586059" w:rsidRDefault="00586059" w:rsidP="00586059">
      <w:pPr>
        <w:pStyle w:val="EndNoteBibliography"/>
        <w:spacing w:after="0"/>
        <w:ind w:left="720" w:hanging="720"/>
      </w:pPr>
      <w:r w:rsidRPr="00586059">
        <w:t>8.</w:t>
      </w:r>
      <w:r w:rsidRPr="00586059">
        <w:tab/>
        <w:t xml:space="preserve">World Health Organization. Guidelines for the diagnosis, prevention and management of cryptococcal disease in HIV-infected adults, adolescents and children. </w:t>
      </w:r>
      <w:r w:rsidRPr="00586059">
        <w:rPr>
          <w:b/>
        </w:rPr>
        <w:t>2018</w:t>
      </w:r>
      <w:r w:rsidRPr="00586059">
        <w:t>: 62.</w:t>
      </w:r>
    </w:p>
    <w:p w14:paraId="4B195A6D" w14:textId="00692A31" w:rsidR="00586059" w:rsidRPr="00586059" w:rsidRDefault="00586059" w:rsidP="00586059">
      <w:pPr>
        <w:pStyle w:val="EndNoteBibliography"/>
        <w:spacing w:after="0"/>
        <w:ind w:left="720" w:hanging="720"/>
      </w:pPr>
      <w:r w:rsidRPr="00586059">
        <w:t>9.</w:t>
      </w:r>
      <w:r w:rsidRPr="00586059">
        <w:tab/>
        <w:t xml:space="preserve">UNITAID. A plan to slash HIV deaths. Available at: </w:t>
      </w:r>
      <w:hyperlink r:id="rId15" w:anchor="en" w:history="1">
        <w:r w:rsidRPr="00586059">
          <w:rPr>
            <w:rStyle w:val="Hyperlink"/>
          </w:rPr>
          <w:t>https://unitaid.org/advanced-hiv-disease/#en</w:t>
        </w:r>
      </w:hyperlink>
      <w:r w:rsidRPr="00586059">
        <w:t>. Accessed 30/01/2019.</w:t>
      </w:r>
    </w:p>
    <w:p w14:paraId="7310AEAB" w14:textId="77777777" w:rsidR="00586059" w:rsidRPr="00586059" w:rsidRDefault="00586059" w:rsidP="00586059">
      <w:pPr>
        <w:pStyle w:val="EndNoteBibliography"/>
        <w:spacing w:after="0"/>
        <w:ind w:left="720" w:hanging="720"/>
      </w:pPr>
      <w:r w:rsidRPr="00586059">
        <w:t>10.</w:t>
      </w:r>
      <w:r w:rsidRPr="00586059">
        <w:tab/>
        <w:t xml:space="preserve">Pasquier E, Kunda J, De Beaudrap P, et al. Long-term Mortality and Disability in Cryptococcal Meningitis: A Systematic Literature Review. Clin Infect Dis </w:t>
      </w:r>
      <w:r w:rsidRPr="00586059">
        <w:rPr>
          <w:b/>
        </w:rPr>
        <w:t>2018</w:t>
      </w:r>
      <w:r w:rsidRPr="00586059">
        <w:t>; 66(7): 1122-32.</w:t>
      </w:r>
    </w:p>
    <w:p w14:paraId="0FBA122B" w14:textId="77777777" w:rsidR="00586059" w:rsidRPr="00586059" w:rsidRDefault="00586059" w:rsidP="00586059">
      <w:pPr>
        <w:pStyle w:val="EndNoteBibliography"/>
        <w:spacing w:after="0"/>
        <w:ind w:left="720" w:hanging="720"/>
      </w:pPr>
      <w:r w:rsidRPr="00586059">
        <w:t>11.</w:t>
      </w:r>
      <w:r w:rsidRPr="00586059">
        <w:tab/>
        <w:t xml:space="preserve">Jarvis JN, Bicanic T, Loyse A, et al. Determinants of mortality in a combined cohort of 501 patients with HIV-associated Cryptococcal meningitis: implications for improving outcomes. Clin Infect Dis </w:t>
      </w:r>
      <w:r w:rsidRPr="00586059">
        <w:rPr>
          <w:b/>
        </w:rPr>
        <w:t>2014</w:t>
      </w:r>
      <w:r w:rsidRPr="00586059">
        <w:t>; 58(5): 736-45.</w:t>
      </w:r>
    </w:p>
    <w:p w14:paraId="3FDC13BB" w14:textId="77777777" w:rsidR="00586059" w:rsidRPr="00586059" w:rsidRDefault="00586059" w:rsidP="00586059">
      <w:pPr>
        <w:pStyle w:val="EndNoteBibliography"/>
        <w:ind w:left="720" w:hanging="720"/>
      </w:pPr>
      <w:r w:rsidRPr="00586059">
        <w:t>12.</w:t>
      </w:r>
      <w:r w:rsidRPr="00586059">
        <w:tab/>
        <w:t xml:space="preserve">Longley N, Harrison TS, Jarvis JN. Cryptococcal immune reconstitution inflammatory syndrome. Current opinion in infectious diseases </w:t>
      </w:r>
      <w:r w:rsidRPr="00586059">
        <w:rPr>
          <w:b/>
        </w:rPr>
        <w:t>2013</w:t>
      </w:r>
      <w:r w:rsidRPr="00586059">
        <w:t>; 26(1): 26-34.</w:t>
      </w:r>
    </w:p>
    <w:p w14:paraId="16FD7992" w14:textId="2E049A33" w:rsidR="00776D8E" w:rsidRPr="00557839" w:rsidRDefault="00776D8E" w:rsidP="00776D8E">
      <w:pPr>
        <w:tabs>
          <w:tab w:val="left" w:pos="3254"/>
        </w:tabs>
        <w:rPr>
          <w:rFonts w:ascii="Arial" w:hAnsi="Arial" w:cs="Arial"/>
          <w:sz w:val="24"/>
          <w:szCs w:val="24"/>
        </w:rPr>
      </w:pPr>
      <w:r w:rsidRPr="00E57A96">
        <w:rPr>
          <w:rFonts w:ascii="Times New Roman" w:hAnsi="Times New Roman" w:cs="Times New Roman"/>
          <w:sz w:val="24"/>
          <w:szCs w:val="24"/>
        </w:rPr>
        <w:fldChar w:fldCharType="end"/>
      </w:r>
      <w:r w:rsidR="000C40EB" w:rsidRPr="00557839">
        <w:rPr>
          <w:rFonts w:ascii="Arial" w:hAnsi="Arial" w:cs="Arial"/>
          <w:sz w:val="24"/>
          <w:szCs w:val="24"/>
        </w:rPr>
        <w:fldChar w:fldCharType="begin"/>
      </w:r>
      <w:r w:rsidR="000C40EB" w:rsidRPr="005657F7">
        <w:rPr>
          <w:rFonts w:ascii="Arial" w:hAnsi="Arial" w:cs="Arial"/>
          <w:sz w:val="24"/>
          <w:szCs w:val="24"/>
        </w:rPr>
        <w:instrText xml:space="preserve"> ADDIN </w:instrText>
      </w:r>
      <w:r w:rsidR="000C40EB" w:rsidRPr="00557839">
        <w:rPr>
          <w:rFonts w:ascii="Arial" w:hAnsi="Arial" w:cs="Arial"/>
          <w:sz w:val="24"/>
          <w:szCs w:val="24"/>
        </w:rPr>
        <w:fldChar w:fldCharType="end"/>
      </w:r>
    </w:p>
    <w:sectPr w:rsidR="00776D8E" w:rsidRPr="00557839" w:rsidSect="00035F8C">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03731" w14:textId="77777777" w:rsidR="00C52696" w:rsidRDefault="00C52696" w:rsidP="00252A4E">
      <w:pPr>
        <w:spacing w:after="0" w:line="240" w:lineRule="auto"/>
      </w:pPr>
      <w:r>
        <w:separator/>
      </w:r>
    </w:p>
  </w:endnote>
  <w:endnote w:type="continuationSeparator" w:id="0">
    <w:p w14:paraId="3FB5D58F" w14:textId="77777777" w:rsidR="00C52696" w:rsidRDefault="00C52696" w:rsidP="00252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OTNEJMScalaSansLF">
    <w:altName w:val="MS Gothic"/>
    <w:panose1 w:val="00000000000000000000"/>
    <w:charset w:val="80"/>
    <w:family w:val="swiss"/>
    <w:notTrueType/>
    <w:pitch w:val="default"/>
    <w:sig w:usb0="00000001" w:usb1="08070000" w:usb2="00000010" w:usb3="00000000" w:csb0="00020000" w:csb1="00000000"/>
  </w:font>
  <w:font w:name="OTNEJMQuadraat">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A6E2" w14:textId="77777777" w:rsidR="008E3F3B" w:rsidRDefault="008E3F3B" w:rsidP="00595F8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5419A" w14:textId="77777777" w:rsidR="008E3F3B" w:rsidRDefault="008E3F3B" w:rsidP="00252A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C1A82" w14:textId="1CD26802" w:rsidR="008E3F3B" w:rsidRDefault="008E3F3B" w:rsidP="00595F8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619E">
      <w:rPr>
        <w:rStyle w:val="PageNumber"/>
        <w:noProof/>
      </w:rPr>
      <w:t>8</w:t>
    </w:r>
    <w:r>
      <w:rPr>
        <w:rStyle w:val="PageNumber"/>
      </w:rPr>
      <w:fldChar w:fldCharType="end"/>
    </w:r>
  </w:p>
  <w:p w14:paraId="2299F72C" w14:textId="77777777" w:rsidR="008E3F3B" w:rsidRDefault="008E3F3B" w:rsidP="00252A4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9E814" w14:textId="77777777" w:rsidR="008E3F3B" w:rsidRDefault="008E3F3B" w:rsidP="00595F8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792286" w14:textId="77777777" w:rsidR="008E3F3B" w:rsidRDefault="008E3F3B" w:rsidP="00252A4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F5612" w14:textId="461371C1" w:rsidR="008E3F3B" w:rsidRDefault="008E3F3B" w:rsidP="00595F8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255CCDA" w14:textId="77777777" w:rsidR="008E3F3B" w:rsidRDefault="008E3F3B" w:rsidP="00252A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0D246" w14:textId="77777777" w:rsidR="00C52696" w:rsidRDefault="00C52696" w:rsidP="00252A4E">
      <w:pPr>
        <w:spacing w:after="0" w:line="240" w:lineRule="auto"/>
      </w:pPr>
      <w:r>
        <w:separator/>
      </w:r>
    </w:p>
  </w:footnote>
  <w:footnote w:type="continuationSeparator" w:id="0">
    <w:p w14:paraId="3E5B2672" w14:textId="77777777" w:rsidR="00C52696" w:rsidRDefault="00C52696" w:rsidP="00252A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EC53E9"/>
    <w:multiLevelType w:val="hybridMultilevel"/>
    <w:tmpl w:val="1DC2F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C21E06"/>
    <w:multiLevelType w:val="hybridMultilevel"/>
    <w:tmpl w:val="7A186C2E"/>
    <w:lvl w:ilvl="0" w:tplc="0E18FE7C">
      <w:start w:val="19"/>
      <w:numFmt w:val="bullet"/>
      <w:lvlText w:val=""/>
      <w:lvlJc w:val="left"/>
      <w:pPr>
        <w:ind w:left="720" w:hanging="360"/>
      </w:pPr>
      <w:rPr>
        <w:rFonts w:ascii="Symbol" w:eastAsiaTheme="minorEastAsia"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 Infectious Disease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xztvpaec09wawe5ewzvaavo0ardpexrzs2t&quot;&gt;My EndNote Library&lt;record-ids&gt;&lt;item&gt;59&lt;/item&gt;&lt;item&gt;110&lt;/item&gt;&lt;item&gt;146&lt;/item&gt;&lt;item&gt;155&lt;/item&gt;&lt;item&gt;636&lt;/item&gt;&lt;item&gt;1349&lt;/item&gt;&lt;item&gt;2964&lt;/item&gt;&lt;item&gt;3036&lt;/item&gt;&lt;/record-ids&gt;&lt;/item&gt;&lt;/Libraries&gt;"/>
  </w:docVars>
  <w:rsids>
    <w:rsidRoot w:val="00CC2AE9"/>
    <w:rsid w:val="00000601"/>
    <w:rsid w:val="00000BB0"/>
    <w:rsid w:val="0000142D"/>
    <w:rsid w:val="00002763"/>
    <w:rsid w:val="00003A97"/>
    <w:rsid w:val="00003CE4"/>
    <w:rsid w:val="00004747"/>
    <w:rsid w:val="0000542A"/>
    <w:rsid w:val="0000562E"/>
    <w:rsid w:val="0000627F"/>
    <w:rsid w:val="00006B25"/>
    <w:rsid w:val="000123D2"/>
    <w:rsid w:val="00012C7D"/>
    <w:rsid w:val="00014380"/>
    <w:rsid w:val="00014A0A"/>
    <w:rsid w:val="0001757A"/>
    <w:rsid w:val="00020508"/>
    <w:rsid w:val="000205B6"/>
    <w:rsid w:val="00020763"/>
    <w:rsid w:val="00021776"/>
    <w:rsid w:val="00022266"/>
    <w:rsid w:val="0002227B"/>
    <w:rsid w:val="00022D2E"/>
    <w:rsid w:val="00022E94"/>
    <w:rsid w:val="00024DCB"/>
    <w:rsid w:val="0002592D"/>
    <w:rsid w:val="00025F13"/>
    <w:rsid w:val="00026755"/>
    <w:rsid w:val="000274D6"/>
    <w:rsid w:val="0003014F"/>
    <w:rsid w:val="00031326"/>
    <w:rsid w:val="00031D09"/>
    <w:rsid w:val="00033420"/>
    <w:rsid w:val="00033C09"/>
    <w:rsid w:val="00035059"/>
    <w:rsid w:val="00035842"/>
    <w:rsid w:val="00035F8C"/>
    <w:rsid w:val="00036733"/>
    <w:rsid w:val="00036C48"/>
    <w:rsid w:val="00037C74"/>
    <w:rsid w:val="00037CD5"/>
    <w:rsid w:val="0004023E"/>
    <w:rsid w:val="000410DD"/>
    <w:rsid w:val="00042857"/>
    <w:rsid w:val="00043EAA"/>
    <w:rsid w:val="0004649C"/>
    <w:rsid w:val="000465AE"/>
    <w:rsid w:val="00046DCC"/>
    <w:rsid w:val="00047AFB"/>
    <w:rsid w:val="00047E05"/>
    <w:rsid w:val="0005075B"/>
    <w:rsid w:val="0005084D"/>
    <w:rsid w:val="00051170"/>
    <w:rsid w:val="0005286D"/>
    <w:rsid w:val="00052BE4"/>
    <w:rsid w:val="000539E1"/>
    <w:rsid w:val="00054887"/>
    <w:rsid w:val="0005675C"/>
    <w:rsid w:val="0005711A"/>
    <w:rsid w:val="0005712C"/>
    <w:rsid w:val="00061296"/>
    <w:rsid w:val="00065B95"/>
    <w:rsid w:val="0007118B"/>
    <w:rsid w:val="00071610"/>
    <w:rsid w:val="00073269"/>
    <w:rsid w:val="000732F8"/>
    <w:rsid w:val="0007553D"/>
    <w:rsid w:val="00076853"/>
    <w:rsid w:val="000772C3"/>
    <w:rsid w:val="0008028D"/>
    <w:rsid w:val="00080850"/>
    <w:rsid w:val="00081D3E"/>
    <w:rsid w:val="00082F8B"/>
    <w:rsid w:val="000833E6"/>
    <w:rsid w:val="0008362D"/>
    <w:rsid w:val="00084257"/>
    <w:rsid w:val="00084D58"/>
    <w:rsid w:val="000855B7"/>
    <w:rsid w:val="000857E1"/>
    <w:rsid w:val="0008589F"/>
    <w:rsid w:val="000858C4"/>
    <w:rsid w:val="00085CDE"/>
    <w:rsid w:val="00085E99"/>
    <w:rsid w:val="000878A7"/>
    <w:rsid w:val="00087BCC"/>
    <w:rsid w:val="00090DE0"/>
    <w:rsid w:val="00091336"/>
    <w:rsid w:val="00091DE3"/>
    <w:rsid w:val="00092905"/>
    <w:rsid w:val="00092F58"/>
    <w:rsid w:val="0009509A"/>
    <w:rsid w:val="000952D5"/>
    <w:rsid w:val="00095471"/>
    <w:rsid w:val="0009557E"/>
    <w:rsid w:val="00096C40"/>
    <w:rsid w:val="0009702C"/>
    <w:rsid w:val="00097D43"/>
    <w:rsid w:val="000A133B"/>
    <w:rsid w:val="000A13A8"/>
    <w:rsid w:val="000A29C7"/>
    <w:rsid w:val="000A6039"/>
    <w:rsid w:val="000A60C2"/>
    <w:rsid w:val="000A660B"/>
    <w:rsid w:val="000B07A2"/>
    <w:rsid w:val="000B1300"/>
    <w:rsid w:val="000B133F"/>
    <w:rsid w:val="000B17BF"/>
    <w:rsid w:val="000B2437"/>
    <w:rsid w:val="000B2804"/>
    <w:rsid w:val="000B2930"/>
    <w:rsid w:val="000B6465"/>
    <w:rsid w:val="000B6D9E"/>
    <w:rsid w:val="000B6DE6"/>
    <w:rsid w:val="000C04F1"/>
    <w:rsid w:val="000C0D57"/>
    <w:rsid w:val="000C0FFF"/>
    <w:rsid w:val="000C2E42"/>
    <w:rsid w:val="000C3323"/>
    <w:rsid w:val="000C3BB9"/>
    <w:rsid w:val="000C40EB"/>
    <w:rsid w:val="000C699A"/>
    <w:rsid w:val="000C79D5"/>
    <w:rsid w:val="000C7DBF"/>
    <w:rsid w:val="000D005A"/>
    <w:rsid w:val="000D2F4B"/>
    <w:rsid w:val="000D4161"/>
    <w:rsid w:val="000D4187"/>
    <w:rsid w:val="000D45C4"/>
    <w:rsid w:val="000D5F66"/>
    <w:rsid w:val="000D6BFA"/>
    <w:rsid w:val="000E01EB"/>
    <w:rsid w:val="000E0A2F"/>
    <w:rsid w:val="000E18A3"/>
    <w:rsid w:val="000E1F44"/>
    <w:rsid w:val="000E2759"/>
    <w:rsid w:val="000E4E98"/>
    <w:rsid w:val="000E57F3"/>
    <w:rsid w:val="000E5A02"/>
    <w:rsid w:val="000E5A27"/>
    <w:rsid w:val="000E65A3"/>
    <w:rsid w:val="000E6F5E"/>
    <w:rsid w:val="000E705B"/>
    <w:rsid w:val="000F1F9B"/>
    <w:rsid w:val="000F2499"/>
    <w:rsid w:val="000F31DB"/>
    <w:rsid w:val="000F62AB"/>
    <w:rsid w:val="000F657A"/>
    <w:rsid w:val="000F6FB7"/>
    <w:rsid w:val="000F7855"/>
    <w:rsid w:val="0010040B"/>
    <w:rsid w:val="00100DEE"/>
    <w:rsid w:val="00101FA3"/>
    <w:rsid w:val="00103523"/>
    <w:rsid w:val="0010487D"/>
    <w:rsid w:val="00104C54"/>
    <w:rsid w:val="001053A0"/>
    <w:rsid w:val="0010635C"/>
    <w:rsid w:val="0011011C"/>
    <w:rsid w:val="00111942"/>
    <w:rsid w:val="00112880"/>
    <w:rsid w:val="001148F7"/>
    <w:rsid w:val="00114936"/>
    <w:rsid w:val="0011530F"/>
    <w:rsid w:val="001169AC"/>
    <w:rsid w:val="00116C11"/>
    <w:rsid w:val="00121A8E"/>
    <w:rsid w:val="001236DE"/>
    <w:rsid w:val="001256B6"/>
    <w:rsid w:val="001258E1"/>
    <w:rsid w:val="00126FA6"/>
    <w:rsid w:val="00127393"/>
    <w:rsid w:val="0012792D"/>
    <w:rsid w:val="00127D1C"/>
    <w:rsid w:val="001302EB"/>
    <w:rsid w:val="00130B37"/>
    <w:rsid w:val="00131A36"/>
    <w:rsid w:val="00131AE2"/>
    <w:rsid w:val="00131F79"/>
    <w:rsid w:val="001322ED"/>
    <w:rsid w:val="001326D4"/>
    <w:rsid w:val="00132866"/>
    <w:rsid w:val="00132ABE"/>
    <w:rsid w:val="00134E94"/>
    <w:rsid w:val="00135E00"/>
    <w:rsid w:val="00136028"/>
    <w:rsid w:val="001360C0"/>
    <w:rsid w:val="00136D2E"/>
    <w:rsid w:val="00137996"/>
    <w:rsid w:val="00141BEE"/>
    <w:rsid w:val="001425EE"/>
    <w:rsid w:val="001432B2"/>
    <w:rsid w:val="00143E13"/>
    <w:rsid w:val="00145D8A"/>
    <w:rsid w:val="00146D01"/>
    <w:rsid w:val="001470EC"/>
    <w:rsid w:val="00150DF2"/>
    <w:rsid w:val="00151CD6"/>
    <w:rsid w:val="001522C7"/>
    <w:rsid w:val="001524A2"/>
    <w:rsid w:val="00153575"/>
    <w:rsid w:val="0015413B"/>
    <w:rsid w:val="00154963"/>
    <w:rsid w:val="00155658"/>
    <w:rsid w:val="00156224"/>
    <w:rsid w:val="0016589D"/>
    <w:rsid w:val="00166218"/>
    <w:rsid w:val="00166F22"/>
    <w:rsid w:val="00167596"/>
    <w:rsid w:val="00167DEC"/>
    <w:rsid w:val="001707DF"/>
    <w:rsid w:val="0017166D"/>
    <w:rsid w:val="00172F31"/>
    <w:rsid w:val="001737D9"/>
    <w:rsid w:val="00173DEB"/>
    <w:rsid w:val="001749B4"/>
    <w:rsid w:val="00174F32"/>
    <w:rsid w:val="00174F70"/>
    <w:rsid w:val="00175160"/>
    <w:rsid w:val="001762BC"/>
    <w:rsid w:val="001768BA"/>
    <w:rsid w:val="00177CA9"/>
    <w:rsid w:val="001803C8"/>
    <w:rsid w:val="00180712"/>
    <w:rsid w:val="00182C3F"/>
    <w:rsid w:val="00183604"/>
    <w:rsid w:val="00190FD4"/>
    <w:rsid w:val="00191CF8"/>
    <w:rsid w:val="00192F8B"/>
    <w:rsid w:val="001935CB"/>
    <w:rsid w:val="00193AC3"/>
    <w:rsid w:val="001954E7"/>
    <w:rsid w:val="001958F0"/>
    <w:rsid w:val="001965B0"/>
    <w:rsid w:val="001A000B"/>
    <w:rsid w:val="001A09E8"/>
    <w:rsid w:val="001A1781"/>
    <w:rsid w:val="001A1C74"/>
    <w:rsid w:val="001A207F"/>
    <w:rsid w:val="001A208D"/>
    <w:rsid w:val="001A255F"/>
    <w:rsid w:val="001A2F53"/>
    <w:rsid w:val="001A3CD8"/>
    <w:rsid w:val="001A4CEA"/>
    <w:rsid w:val="001A5557"/>
    <w:rsid w:val="001A59D2"/>
    <w:rsid w:val="001B1DA5"/>
    <w:rsid w:val="001B1DA8"/>
    <w:rsid w:val="001B4C86"/>
    <w:rsid w:val="001B4F78"/>
    <w:rsid w:val="001B55BD"/>
    <w:rsid w:val="001B5B72"/>
    <w:rsid w:val="001B6C12"/>
    <w:rsid w:val="001B75F1"/>
    <w:rsid w:val="001C0303"/>
    <w:rsid w:val="001C23AC"/>
    <w:rsid w:val="001C23AF"/>
    <w:rsid w:val="001C3745"/>
    <w:rsid w:val="001C4520"/>
    <w:rsid w:val="001C4DF9"/>
    <w:rsid w:val="001C50B4"/>
    <w:rsid w:val="001C5DBD"/>
    <w:rsid w:val="001C6432"/>
    <w:rsid w:val="001C6FE2"/>
    <w:rsid w:val="001C79FC"/>
    <w:rsid w:val="001D0D4F"/>
    <w:rsid w:val="001D1B54"/>
    <w:rsid w:val="001D21F0"/>
    <w:rsid w:val="001D2814"/>
    <w:rsid w:val="001D2864"/>
    <w:rsid w:val="001D28CC"/>
    <w:rsid w:val="001D2E60"/>
    <w:rsid w:val="001D462C"/>
    <w:rsid w:val="001D4DF3"/>
    <w:rsid w:val="001D54B9"/>
    <w:rsid w:val="001D6D55"/>
    <w:rsid w:val="001D7120"/>
    <w:rsid w:val="001D77F7"/>
    <w:rsid w:val="001E0613"/>
    <w:rsid w:val="001E12FE"/>
    <w:rsid w:val="001E1B53"/>
    <w:rsid w:val="001E1DDD"/>
    <w:rsid w:val="001E25EF"/>
    <w:rsid w:val="001E2611"/>
    <w:rsid w:val="001E37FD"/>
    <w:rsid w:val="001E563C"/>
    <w:rsid w:val="001F06F0"/>
    <w:rsid w:val="001F16FA"/>
    <w:rsid w:val="001F2464"/>
    <w:rsid w:val="001F55F4"/>
    <w:rsid w:val="001F5BEF"/>
    <w:rsid w:val="001F5D1A"/>
    <w:rsid w:val="001F6BEA"/>
    <w:rsid w:val="002002CF"/>
    <w:rsid w:val="002004BF"/>
    <w:rsid w:val="002008A0"/>
    <w:rsid w:val="00201BD6"/>
    <w:rsid w:val="002023A3"/>
    <w:rsid w:val="002042B9"/>
    <w:rsid w:val="00204B05"/>
    <w:rsid w:val="00204D84"/>
    <w:rsid w:val="00206C2E"/>
    <w:rsid w:val="00206CE2"/>
    <w:rsid w:val="00207534"/>
    <w:rsid w:val="00210307"/>
    <w:rsid w:val="00210854"/>
    <w:rsid w:val="00211273"/>
    <w:rsid w:val="0021309D"/>
    <w:rsid w:val="002140BF"/>
    <w:rsid w:val="00215AF8"/>
    <w:rsid w:val="00215DC0"/>
    <w:rsid w:val="00220EA2"/>
    <w:rsid w:val="00221225"/>
    <w:rsid w:val="00221B77"/>
    <w:rsid w:val="002237BD"/>
    <w:rsid w:val="00223970"/>
    <w:rsid w:val="00223D6F"/>
    <w:rsid w:val="00224629"/>
    <w:rsid w:val="0022531E"/>
    <w:rsid w:val="0022653F"/>
    <w:rsid w:val="00226D4B"/>
    <w:rsid w:val="002279AA"/>
    <w:rsid w:val="00230BA2"/>
    <w:rsid w:val="00230C97"/>
    <w:rsid w:val="00230FA8"/>
    <w:rsid w:val="002338F2"/>
    <w:rsid w:val="00233B02"/>
    <w:rsid w:val="0023582F"/>
    <w:rsid w:val="00235CC9"/>
    <w:rsid w:val="00241D19"/>
    <w:rsid w:val="00241FAD"/>
    <w:rsid w:val="00242522"/>
    <w:rsid w:val="00242A99"/>
    <w:rsid w:val="00243989"/>
    <w:rsid w:val="002449A1"/>
    <w:rsid w:val="00244CD0"/>
    <w:rsid w:val="002456E2"/>
    <w:rsid w:val="0024600F"/>
    <w:rsid w:val="00246561"/>
    <w:rsid w:val="0024663F"/>
    <w:rsid w:val="0025066B"/>
    <w:rsid w:val="002512A0"/>
    <w:rsid w:val="00251EBA"/>
    <w:rsid w:val="00252637"/>
    <w:rsid w:val="00252A4E"/>
    <w:rsid w:val="00252E8F"/>
    <w:rsid w:val="00253936"/>
    <w:rsid w:val="00253FDA"/>
    <w:rsid w:val="00254716"/>
    <w:rsid w:val="00254C22"/>
    <w:rsid w:val="00256F30"/>
    <w:rsid w:val="0025710B"/>
    <w:rsid w:val="00260C95"/>
    <w:rsid w:val="002625E5"/>
    <w:rsid w:val="002630E1"/>
    <w:rsid w:val="00264041"/>
    <w:rsid w:val="00264FB8"/>
    <w:rsid w:val="0026516F"/>
    <w:rsid w:val="002656EF"/>
    <w:rsid w:val="00266A32"/>
    <w:rsid w:val="00266FF3"/>
    <w:rsid w:val="002671D7"/>
    <w:rsid w:val="00267D23"/>
    <w:rsid w:val="002706A4"/>
    <w:rsid w:val="00270824"/>
    <w:rsid w:val="00270BB5"/>
    <w:rsid w:val="002713BB"/>
    <w:rsid w:val="00272F3C"/>
    <w:rsid w:val="002739A7"/>
    <w:rsid w:val="002763DD"/>
    <w:rsid w:val="00276CE8"/>
    <w:rsid w:val="00277280"/>
    <w:rsid w:val="00277B87"/>
    <w:rsid w:val="00280844"/>
    <w:rsid w:val="00284564"/>
    <w:rsid w:val="002849E8"/>
    <w:rsid w:val="00285D9A"/>
    <w:rsid w:val="00285E2E"/>
    <w:rsid w:val="0028642B"/>
    <w:rsid w:val="0028744A"/>
    <w:rsid w:val="00287D1F"/>
    <w:rsid w:val="0029085B"/>
    <w:rsid w:val="0029097D"/>
    <w:rsid w:val="00291B86"/>
    <w:rsid w:val="00291BC0"/>
    <w:rsid w:val="00293101"/>
    <w:rsid w:val="0029343C"/>
    <w:rsid w:val="00297488"/>
    <w:rsid w:val="002A1981"/>
    <w:rsid w:val="002A1D3C"/>
    <w:rsid w:val="002A1D9C"/>
    <w:rsid w:val="002A1F74"/>
    <w:rsid w:val="002A330F"/>
    <w:rsid w:val="002A4680"/>
    <w:rsid w:val="002A567F"/>
    <w:rsid w:val="002A5D94"/>
    <w:rsid w:val="002A764C"/>
    <w:rsid w:val="002A7F4D"/>
    <w:rsid w:val="002B130E"/>
    <w:rsid w:val="002B1618"/>
    <w:rsid w:val="002B1B60"/>
    <w:rsid w:val="002B2C89"/>
    <w:rsid w:val="002B3687"/>
    <w:rsid w:val="002B37CF"/>
    <w:rsid w:val="002B38FC"/>
    <w:rsid w:val="002B6012"/>
    <w:rsid w:val="002B613D"/>
    <w:rsid w:val="002B625F"/>
    <w:rsid w:val="002C139B"/>
    <w:rsid w:val="002C1623"/>
    <w:rsid w:val="002C168E"/>
    <w:rsid w:val="002C19FB"/>
    <w:rsid w:val="002C4EAB"/>
    <w:rsid w:val="002C5497"/>
    <w:rsid w:val="002C59F1"/>
    <w:rsid w:val="002C5A2D"/>
    <w:rsid w:val="002C5BF0"/>
    <w:rsid w:val="002C5EA6"/>
    <w:rsid w:val="002D1389"/>
    <w:rsid w:val="002D169C"/>
    <w:rsid w:val="002D5011"/>
    <w:rsid w:val="002D5390"/>
    <w:rsid w:val="002D53B0"/>
    <w:rsid w:val="002D6135"/>
    <w:rsid w:val="002D67E6"/>
    <w:rsid w:val="002E07F5"/>
    <w:rsid w:val="002E170C"/>
    <w:rsid w:val="002E29A0"/>
    <w:rsid w:val="002E6A89"/>
    <w:rsid w:val="002E7DB4"/>
    <w:rsid w:val="002F01DF"/>
    <w:rsid w:val="002F05B4"/>
    <w:rsid w:val="002F19C0"/>
    <w:rsid w:val="002F200B"/>
    <w:rsid w:val="002F2BDB"/>
    <w:rsid w:val="002F497B"/>
    <w:rsid w:val="002F5702"/>
    <w:rsid w:val="002F628A"/>
    <w:rsid w:val="002F6C14"/>
    <w:rsid w:val="002F70FA"/>
    <w:rsid w:val="0030053E"/>
    <w:rsid w:val="003010B7"/>
    <w:rsid w:val="003013A0"/>
    <w:rsid w:val="00302AD9"/>
    <w:rsid w:val="00303643"/>
    <w:rsid w:val="00303BCD"/>
    <w:rsid w:val="00304930"/>
    <w:rsid w:val="00304F19"/>
    <w:rsid w:val="00305762"/>
    <w:rsid w:val="003058FB"/>
    <w:rsid w:val="003071F2"/>
    <w:rsid w:val="00307661"/>
    <w:rsid w:val="0030791E"/>
    <w:rsid w:val="00307DB4"/>
    <w:rsid w:val="0031101F"/>
    <w:rsid w:val="00311239"/>
    <w:rsid w:val="00311F13"/>
    <w:rsid w:val="003125BD"/>
    <w:rsid w:val="003129BA"/>
    <w:rsid w:val="003129CD"/>
    <w:rsid w:val="00313F24"/>
    <w:rsid w:val="00315AF2"/>
    <w:rsid w:val="00315F3F"/>
    <w:rsid w:val="003174A5"/>
    <w:rsid w:val="003220AD"/>
    <w:rsid w:val="00323A72"/>
    <w:rsid w:val="00323F9D"/>
    <w:rsid w:val="00325C05"/>
    <w:rsid w:val="00330B52"/>
    <w:rsid w:val="00330EC2"/>
    <w:rsid w:val="00331411"/>
    <w:rsid w:val="00333FF9"/>
    <w:rsid w:val="003348A6"/>
    <w:rsid w:val="00334B65"/>
    <w:rsid w:val="00334BF4"/>
    <w:rsid w:val="00336174"/>
    <w:rsid w:val="0033788E"/>
    <w:rsid w:val="0034048B"/>
    <w:rsid w:val="00341905"/>
    <w:rsid w:val="00342CB1"/>
    <w:rsid w:val="00344152"/>
    <w:rsid w:val="00345897"/>
    <w:rsid w:val="00347858"/>
    <w:rsid w:val="0035059C"/>
    <w:rsid w:val="00352E49"/>
    <w:rsid w:val="003535D5"/>
    <w:rsid w:val="003537D0"/>
    <w:rsid w:val="003546A6"/>
    <w:rsid w:val="00356D5E"/>
    <w:rsid w:val="00357189"/>
    <w:rsid w:val="003600D2"/>
    <w:rsid w:val="00361754"/>
    <w:rsid w:val="00362930"/>
    <w:rsid w:val="00363168"/>
    <w:rsid w:val="003633B6"/>
    <w:rsid w:val="00366469"/>
    <w:rsid w:val="003667D3"/>
    <w:rsid w:val="0036783A"/>
    <w:rsid w:val="003678BB"/>
    <w:rsid w:val="00370D2C"/>
    <w:rsid w:val="00372067"/>
    <w:rsid w:val="00373905"/>
    <w:rsid w:val="00374789"/>
    <w:rsid w:val="003750E8"/>
    <w:rsid w:val="00375271"/>
    <w:rsid w:val="003759F2"/>
    <w:rsid w:val="00377AD3"/>
    <w:rsid w:val="00381214"/>
    <w:rsid w:val="003813F8"/>
    <w:rsid w:val="003818D5"/>
    <w:rsid w:val="0038299F"/>
    <w:rsid w:val="00382FAD"/>
    <w:rsid w:val="00383D44"/>
    <w:rsid w:val="00385E2D"/>
    <w:rsid w:val="00386658"/>
    <w:rsid w:val="0038775D"/>
    <w:rsid w:val="00387830"/>
    <w:rsid w:val="00391A52"/>
    <w:rsid w:val="00391EA7"/>
    <w:rsid w:val="00393C3E"/>
    <w:rsid w:val="00395924"/>
    <w:rsid w:val="003A071C"/>
    <w:rsid w:val="003A0CA3"/>
    <w:rsid w:val="003A1F73"/>
    <w:rsid w:val="003A3713"/>
    <w:rsid w:val="003A3763"/>
    <w:rsid w:val="003A451E"/>
    <w:rsid w:val="003A46F1"/>
    <w:rsid w:val="003A549B"/>
    <w:rsid w:val="003A56E5"/>
    <w:rsid w:val="003A6F76"/>
    <w:rsid w:val="003A6FDB"/>
    <w:rsid w:val="003B0E7B"/>
    <w:rsid w:val="003B2736"/>
    <w:rsid w:val="003B3580"/>
    <w:rsid w:val="003B37AD"/>
    <w:rsid w:val="003B3884"/>
    <w:rsid w:val="003B3CDE"/>
    <w:rsid w:val="003B3D29"/>
    <w:rsid w:val="003B3E5C"/>
    <w:rsid w:val="003B651B"/>
    <w:rsid w:val="003B6672"/>
    <w:rsid w:val="003B6D1A"/>
    <w:rsid w:val="003B7125"/>
    <w:rsid w:val="003B797D"/>
    <w:rsid w:val="003C2A42"/>
    <w:rsid w:val="003C3598"/>
    <w:rsid w:val="003C3AC6"/>
    <w:rsid w:val="003C3C7B"/>
    <w:rsid w:val="003C3D96"/>
    <w:rsid w:val="003C44E4"/>
    <w:rsid w:val="003C4E4F"/>
    <w:rsid w:val="003C58CB"/>
    <w:rsid w:val="003C6537"/>
    <w:rsid w:val="003C6967"/>
    <w:rsid w:val="003C6B7D"/>
    <w:rsid w:val="003C75B3"/>
    <w:rsid w:val="003D172B"/>
    <w:rsid w:val="003D3BF4"/>
    <w:rsid w:val="003D4586"/>
    <w:rsid w:val="003D4CBF"/>
    <w:rsid w:val="003D4F2E"/>
    <w:rsid w:val="003D6CB5"/>
    <w:rsid w:val="003D78EB"/>
    <w:rsid w:val="003D7972"/>
    <w:rsid w:val="003D7F16"/>
    <w:rsid w:val="003E1522"/>
    <w:rsid w:val="003E2492"/>
    <w:rsid w:val="003E2BC7"/>
    <w:rsid w:val="003E3DE2"/>
    <w:rsid w:val="003E530C"/>
    <w:rsid w:val="003E5A4A"/>
    <w:rsid w:val="003E6FD0"/>
    <w:rsid w:val="003E6FF8"/>
    <w:rsid w:val="003E7409"/>
    <w:rsid w:val="003E7737"/>
    <w:rsid w:val="003F1E43"/>
    <w:rsid w:val="003F24E8"/>
    <w:rsid w:val="003F52DD"/>
    <w:rsid w:val="003F5500"/>
    <w:rsid w:val="00402F91"/>
    <w:rsid w:val="004047F4"/>
    <w:rsid w:val="00407E15"/>
    <w:rsid w:val="00410397"/>
    <w:rsid w:val="0041091D"/>
    <w:rsid w:val="00412365"/>
    <w:rsid w:val="00413465"/>
    <w:rsid w:val="00413911"/>
    <w:rsid w:val="00417070"/>
    <w:rsid w:val="0041722B"/>
    <w:rsid w:val="00420C9F"/>
    <w:rsid w:val="00420F66"/>
    <w:rsid w:val="00421540"/>
    <w:rsid w:val="0042167F"/>
    <w:rsid w:val="00421C80"/>
    <w:rsid w:val="00421E5D"/>
    <w:rsid w:val="00422D98"/>
    <w:rsid w:val="00425894"/>
    <w:rsid w:val="00425DDE"/>
    <w:rsid w:val="00425E92"/>
    <w:rsid w:val="00426901"/>
    <w:rsid w:val="004304C4"/>
    <w:rsid w:val="004308FB"/>
    <w:rsid w:val="0043335A"/>
    <w:rsid w:val="00433E4B"/>
    <w:rsid w:val="00434716"/>
    <w:rsid w:val="00436595"/>
    <w:rsid w:val="0043674A"/>
    <w:rsid w:val="00436F5B"/>
    <w:rsid w:val="00437B56"/>
    <w:rsid w:val="00440665"/>
    <w:rsid w:val="004406E6"/>
    <w:rsid w:val="00440732"/>
    <w:rsid w:val="004419B3"/>
    <w:rsid w:val="00441A48"/>
    <w:rsid w:val="00442354"/>
    <w:rsid w:val="00443DB8"/>
    <w:rsid w:val="00445D3D"/>
    <w:rsid w:val="004465F3"/>
    <w:rsid w:val="00446646"/>
    <w:rsid w:val="004472FD"/>
    <w:rsid w:val="00447BC4"/>
    <w:rsid w:val="00447C31"/>
    <w:rsid w:val="004529D1"/>
    <w:rsid w:val="00453562"/>
    <w:rsid w:val="00453AD4"/>
    <w:rsid w:val="00454DA6"/>
    <w:rsid w:val="0045580A"/>
    <w:rsid w:val="00456B76"/>
    <w:rsid w:val="00456D87"/>
    <w:rsid w:val="00456F69"/>
    <w:rsid w:val="004579B9"/>
    <w:rsid w:val="00460093"/>
    <w:rsid w:val="004604CB"/>
    <w:rsid w:val="00461859"/>
    <w:rsid w:val="00462B33"/>
    <w:rsid w:val="004647E8"/>
    <w:rsid w:val="0046613F"/>
    <w:rsid w:val="00467B6B"/>
    <w:rsid w:val="0047104D"/>
    <w:rsid w:val="00472F8A"/>
    <w:rsid w:val="0047721F"/>
    <w:rsid w:val="004772E3"/>
    <w:rsid w:val="00482182"/>
    <w:rsid w:val="00486C39"/>
    <w:rsid w:val="00490914"/>
    <w:rsid w:val="00490CFC"/>
    <w:rsid w:val="00491228"/>
    <w:rsid w:val="00492564"/>
    <w:rsid w:val="004925AA"/>
    <w:rsid w:val="0049294F"/>
    <w:rsid w:val="00492DB7"/>
    <w:rsid w:val="00493E0A"/>
    <w:rsid w:val="004945EE"/>
    <w:rsid w:val="004977EB"/>
    <w:rsid w:val="004A1D7F"/>
    <w:rsid w:val="004A21DB"/>
    <w:rsid w:val="004A4577"/>
    <w:rsid w:val="004A4A17"/>
    <w:rsid w:val="004A4CB1"/>
    <w:rsid w:val="004A5809"/>
    <w:rsid w:val="004A583D"/>
    <w:rsid w:val="004A5DB9"/>
    <w:rsid w:val="004A680E"/>
    <w:rsid w:val="004A722B"/>
    <w:rsid w:val="004A7282"/>
    <w:rsid w:val="004A75D5"/>
    <w:rsid w:val="004B01AC"/>
    <w:rsid w:val="004B0AFD"/>
    <w:rsid w:val="004B2CD1"/>
    <w:rsid w:val="004B3562"/>
    <w:rsid w:val="004B41B7"/>
    <w:rsid w:val="004B45AE"/>
    <w:rsid w:val="004B4B14"/>
    <w:rsid w:val="004B6148"/>
    <w:rsid w:val="004B72FB"/>
    <w:rsid w:val="004B7680"/>
    <w:rsid w:val="004B793D"/>
    <w:rsid w:val="004C14D7"/>
    <w:rsid w:val="004C1C70"/>
    <w:rsid w:val="004C2507"/>
    <w:rsid w:val="004C269E"/>
    <w:rsid w:val="004C34E0"/>
    <w:rsid w:val="004C3C0C"/>
    <w:rsid w:val="004C4A2E"/>
    <w:rsid w:val="004C6787"/>
    <w:rsid w:val="004C795B"/>
    <w:rsid w:val="004D0C46"/>
    <w:rsid w:val="004D17D3"/>
    <w:rsid w:val="004D2834"/>
    <w:rsid w:val="004D555D"/>
    <w:rsid w:val="004D5D39"/>
    <w:rsid w:val="004D6781"/>
    <w:rsid w:val="004D6C81"/>
    <w:rsid w:val="004E0A9B"/>
    <w:rsid w:val="004E0D19"/>
    <w:rsid w:val="004E1069"/>
    <w:rsid w:val="004E1FBA"/>
    <w:rsid w:val="004E2CE5"/>
    <w:rsid w:val="004E42D5"/>
    <w:rsid w:val="004E5274"/>
    <w:rsid w:val="004E5F9A"/>
    <w:rsid w:val="004E62CB"/>
    <w:rsid w:val="004E6F7A"/>
    <w:rsid w:val="004F096C"/>
    <w:rsid w:val="004F09C9"/>
    <w:rsid w:val="004F0A36"/>
    <w:rsid w:val="004F0DF7"/>
    <w:rsid w:val="004F1587"/>
    <w:rsid w:val="004F28CA"/>
    <w:rsid w:val="004F3281"/>
    <w:rsid w:val="004F3924"/>
    <w:rsid w:val="004F449E"/>
    <w:rsid w:val="004F4BF4"/>
    <w:rsid w:val="004F6696"/>
    <w:rsid w:val="004F7799"/>
    <w:rsid w:val="00503D83"/>
    <w:rsid w:val="00504465"/>
    <w:rsid w:val="005047DD"/>
    <w:rsid w:val="005047FA"/>
    <w:rsid w:val="0050533D"/>
    <w:rsid w:val="005062A1"/>
    <w:rsid w:val="00507E6B"/>
    <w:rsid w:val="005108DA"/>
    <w:rsid w:val="00510CCE"/>
    <w:rsid w:val="00511538"/>
    <w:rsid w:val="00514C9A"/>
    <w:rsid w:val="00515F89"/>
    <w:rsid w:val="0051703F"/>
    <w:rsid w:val="0051724A"/>
    <w:rsid w:val="00521420"/>
    <w:rsid w:val="00521590"/>
    <w:rsid w:val="00522E46"/>
    <w:rsid w:val="00525FB1"/>
    <w:rsid w:val="00526436"/>
    <w:rsid w:val="00527761"/>
    <w:rsid w:val="00534407"/>
    <w:rsid w:val="00534748"/>
    <w:rsid w:val="00535C36"/>
    <w:rsid w:val="00536469"/>
    <w:rsid w:val="00536738"/>
    <w:rsid w:val="00536DA5"/>
    <w:rsid w:val="00537101"/>
    <w:rsid w:val="0054254B"/>
    <w:rsid w:val="00543E8E"/>
    <w:rsid w:val="00544876"/>
    <w:rsid w:val="00545C12"/>
    <w:rsid w:val="00550C5B"/>
    <w:rsid w:val="005526E7"/>
    <w:rsid w:val="0055281F"/>
    <w:rsid w:val="00553272"/>
    <w:rsid w:val="00553858"/>
    <w:rsid w:val="00556538"/>
    <w:rsid w:val="00556E80"/>
    <w:rsid w:val="00557839"/>
    <w:rsid w:val="00560AB3"/>
    <w:rsid w:val="00561DA2"/>
    <w:rsid w:val="0056241F"/>
    <w:rsid w:val="0056283C"/>
    <w:rsid w:val="00563368"/>
    <w:rsid w:val="005657F7"/>
    <w:rsid w:val="00565A67"/>
    <w:rsid w:val="00567EE7"/>
    <w:rsid w:val="00570CC5"/>
    <w:rsid w:val="0057185E"/>
    <w:rsid w:val="005722F3"/>
    <w:rsid w:val="00572F44"/>
    <w:rsid w:val="0057466B"/>
    <w:rsid w:val="00574A7A"/>
    <w:rsid w:val="00576EFC"/>
    <w:rsid w:val="00577578"/>
    <w:rsid w:val="00577CF1"/>
    <w:rsid w:val="005806DE"/>
    <w:rsid w:val="0058177D"/>
    <w:rsid w:val="0058252C"/>
    <w:rsid w:val="005825A9"/>
    <w:rsid w:val="00583163"/>
    <w:rsid w:val="005835FC"/>
    <w:rsid w:val="00585412"/>
    <w:rsid w:val="00585C55"/>
    <w:rsid w:val="00585F5E"/>
    <w:rsid w:val="00586059"/>
    <w:rsid w:val="00587769"/>
    <w:rsid w:val="00592301"/>
    <w:rsid w:val="005924B0"/>
    <w:rsid w:val="00592C06"/>
    <w:rsid w:val="00592F15"/>
    <w:rsid w:val="0059307E"/>
    <w:rsid w:val="005941F7"/>
    <w:rsid w:val="00595F86"/>
    <w:rsid w:val="005A0250"/>
    <w:rsid w:val="005A0746"/>
    <w:rsid w:val="005A20B5"/>
    <w:rsid w:val="005A2C59"/>
    <w:rsid w:val="005A2D66"/>
    <w:rsid w:val="005A4EC1"/>
    <w:rsid w:val="005A50E7"/>
    <w:rsid w:val="005A5152"/>
    <w:rsid w:val="005A55FF"/>
    <w:rsid w:val="005A62E4"/>
    <w:rsid w:val="005A7206"/>
    <w:rsid w:val="005B003D"/>
    <w:rsid w:val="005B0BFD"/>
    <w:rsid w:val="005B0E56"/>
    <w:rsid w:val="005B1CC6"/>
    <w:rsid w:val="005B1D71"/>
    <w:rsid w:val="005B22AA"/>
    <w:rsid w:val="005B2692"/>
    <w:rsid w:val="005B36CC"/>
    <w:rsid w:val="005B3D3B"/>
    <w:rsid w:val="005B4758"/>
    <w:rsid w:val="005B4C0D"/>
    <w:rsid w:val="005B4C18"/>
    <w:rsid w:val="005B6381"/>
    <w:rsid w:val="005B7C92"/>
    <w:rsid w:val="005C025D"/>
    <w:rsid w:val="005C0B7E"/>
    <w:rsid w:val="005C16E1"/>
    <w:rsid w:val="005C371E"/>
    <w:rsid w:val="005C38DC"/>
    <w:rsid w:val="005C7966"/>
    <w:rsid w:val="005D01EA"/>
    <w:rsid w:val="005D06CC"/>
    <w:rsid w:val="005D1CA2"/>
    <w:rsid w:val="005D1DAA"/>
    <w:rsid w:val="005D1E68"/>
    <w:rsid w:val="005D2088"/>
    <w:rsid w:val="005D2D2D"/>
    <w:rsid w:val="005D3B2C"/>
    <w:rsid w:val="005D3D00"/>
    <w:rsid w:val="005D5B7E"/>
    <w:rsid w:val="005D6204"/>
    <w:rsid w:val="005D78F3"/>
    <w:rsid w:val="005E17A5"/>
    <w:rsid w:val="005E27A0"/>
    <w:rsid w:val="005E4533"/>
    <w:rsid w:val="005E4730"/>
    <w:rsid w:val="005E4AE1"/>
    <w:rsid w:val="005E5D74"/>
    <w:rsid w:val="005E766B"/>
    <w:rsid w:val="005E7B48"/>
    <w:rsid w:val="005F1A0A"/>
    <w:rsid w:val="005F25BF"/>
    <w:rsid w:val="005F2B52"/>
    <w:rsid w:val="005F3DC8"/>
    <w:rsid w:val="005F4361"/>
    <w:rsid w:val="005F59F9"/>
    <w:rsid w:val="005F6A9B"/>
    <w:rsid w:val="005F74ED"/>
    <w:rsid w:val="00602D05"/>
    <w:rsid w:val="006049D9"/>
    <w:rsid w:val="00605302"/>
    <w:rsid w:val="0060739A"/>
    <w:rsid w:val="00607B2E"/>
    <w:rsid w:val="00611AA5"/>
    <w:rsid w:val="00612A2D"/>
    <w:rsid w:val="00612C34"/>
    <w:rsid w:val="00612F4B"/>
    <w:rsid w:val="006145BC"/>
    <w:rsid w:val="00614E6F"/>
    <w:rsid w:val="00616379"/>
    <w:rsid w:val="00617727"/>
    <w:rsid w:val="006218D1"/>
    <w:rsid w:val="00621AD3"/>
    <w:rsid w:val="006226B3"/>
    <w:rsid w:val="00622884"/>
    <w:rsid w:val="0062516F"/>
    <w:rsid w:val="0062644B"/>
    <w:rsid w:val="0062677C"/>
    <w:rsid w:val="00626D93"/>
    <w:rsid w:val="00630CA7"/>
    <w:rsid w:val="00632BD1"/>
    <w:rsid w:val="0063574F"/>
    <w:rsid w:val="00635F05"/>
    <w:rsid w:val="00640965"/>
    <w:rsid w:val="00640CE5"/>
    <w:rsid w:val="00640DF2"/>
    <w:rsid w:val="00641892"/>
    <w:rsid w:val="00641D99"/>
    <w:rsid w:val="00641F1B"/>
    <w:rsid w:val="00641F79"/>
    <w:rsid w:val="006420AE"/>
    <w:rsid w:val="0064259A"/>
    <w:rsid w:val="006431EB"/>
    <w:rsid w:val="00644307"/>
    <w:rsid w:val="006455E6"/>
    <w:rsid w:val="00645DDF"/>
    <w:rsid w:val="00645EFE"/>
    <w:rsid w:val="0064792B"/>
    <w:rsid w:val="00647954"/>
    <w:rsid w:val="00655053"/>
    <w:rsid w:val="00655930"/>
    <w:rsid w:val="00660144"/>
    <w:rsid w:val="006605B3"/>
    <w:rsid w:val="00661482"/>
    <w:rsid w:val="00661B7A"/>
    <w:rsid w:val="0066271A"/>
    <w:rsid w:val="0066283F"/>
    <w:rsid w:val="006628FD"/>
    <w:rsid w:val="00662F6E"/>
    <w:rsid w:val="00663485"/>
    <w:rsid w:val="00664204"/>
    <w:rsid w:val="0066440E"/>
    <w:rsid w:val="00670B82"/>
    <w:rsid w:val="00671F8E"/>
    <w:rsid w:val="0067252C"/>
    <w:rsid w:val="00674179"/>
    <w:rsid w:val="006744D5"/>
    <w:rsid w:val="0067477E"/>
    <w:rsid w:val="006756C8"/>
    <w:rsid w:val="0067692C"/>
    <w:rsid w:val="00677A65"/>
    <w:rsid w:val="0068000C"/>
    <w:rsid w:val="006813B1"/>
    <w:rsid w:val="00682AD3"/>
    <w:rsid w:val="0068339C"/>
    <w:rsid w:val="006838A5"/>
    <w:rsid w:val="00683F6D"/>
    <w:rsid w:val="006846DE"/>
    <w:rsid w:val="00685051"/>
    <w:rsid w:val="006874AB"/>
    <w:rsid w:val="00687F4D"/>
    <w:rsid w:val="00687FF0"/>
    <w:rsid w:val="0069248D"/>
    <w:rsid w:val="00692E60"/>
    <w:rsid w:val="0069500D"/>
    <w:rsid w:val="006957FD"/>
    <w:rsid w:val="00695892"/>
    <w:rsid w:val="00695CF7"/>
    <w:rsid w:val="0069600D"/>
    <w:rsid w:val="00696F6F"/>
    <w:rsid w:val="00697144"/>
    <w:rsid w:val="00697EF1"/>
    <w:rsid w:val="006A114D"/>
    <w:rsid w:val="006A1F64"/>
    <w:rsid w:val="006A2057"/>
    <w:rsid w:val="006A27DC"/>
    <w:rsid w:val="006A294E"/>
    <w:rsid w:val="006A2DB6"/>
    <w:rsid w:val="006A386C"/>
    <w:rsid w:val="006A5906"/>
    <w:rsid w:val="006A59A3"/>
    <w:rsid w:val="006A5F5B"/>
    <w:rsid w:val="006A710C"/>
    <w:rsid w:val="006B075F"/>
    <w:rsid w:val="006B0B5D"/>
    <w:rsid w:val="006B18E9"/>
    <w:rsid w:val="006B2B0B"/>
    <w:rsid w:val="006B34DB"/>
    <w:rsid w:val="006B51EF"/>
    <w:rsid w:val="006B5485"/>
    <w:rsid w:val="006B5504"/>
    <w:rsid w:val="006B5C71"/>
    <w:rsid w:val="006B6A1C"/>
    <w:rsid w:val="006C0967"/>
    <w:rsid w:val="006C265D"/>
    <w:rsid w:val="006C2ADC"/>
    <w:rsid w:val="006C2C6E"/>
    <w:rsid w:val="006C547F"/>
    <w:rsid w:val="006C58E8"/>
    <w:rsid w:val="006C5A37"/>
    <w:rsid w:val="006C5EA4"/>
    <w:rsid w:val="006C664C"/>
    <w:rsid w:val="006D0205"/>
    <w:rsid w:val="006D092C"/>
    <w:rsid w:val="006D364E"/>
    <w:rsid w:val="006D3B86"/>
    <w:rsid w:val="006D3DF6"/>
    <w:rsid w:val="006D523A"/>
    <w:rsid w:val="006D6925"/>
    <w:rsid w:val="006D69DA"/>
    <w:rsid w:val="006E05B4"/>
    <w:rsid w:val="006E1B1A"/>
    <w:rsid w:val="006E3A19"/>
    <w:rsid w:val="006E443E"/>
    <w:rsid w:val="006E4978"/>
    <w:rsid w:val="006E4E6E"/>
    <w:rsid w:val="006E6BD4"/>
    <w:rsid w:val="006F0375"/>
    <w:rsid w:val="006F09F1"/>
    <w:rsid w:val="006F0FFC"/>
    <w:rsid w:val="006F3810"/>
    <w:rsid w:val="006F3C42"/>
    <w:rsid w:val="006F3EF4"/>
    <w:rsid w:val="006F4021"/>
    <w:rsid w:val="006F45A9"/>
    <w:rsid w:val="006F4E18"/>
    <w:rsid w:val="006F4FA7"/>
    <w:rsid w:val="006F5A39"/>
    <w:rsid w:val="006F5FFE"/>
    <w:rsid w:val="006F60F9"/>
    <w:rsid w:val="006F7663"/>
    <w:rsid w:val="006F77A4"/>
    <w:rsid w:val="006F7CD6"/>
    <w:rsid w:val="00700186"/>
    <w:rsid w:val="0070058A"/>
    <w:rsid w:val="00701309"/>
    <w:rsid w:val="007033F9"/>
    <w:rsid w:val="00704197"/>
    <w:rsid w:val="007045E7"/>
    <w:rsid w:val="00704BB4"/>
    <w:rsid w:val="00705518"/>
    <w:rsid w:val="00705641"/>
    <w:rsid w:val="00705955"/>
    <w:rsid w:val="00705D70"/>
    <w:rsid w:val="00706E95"/>
    <w:rsid w:val="007103A0"/>
    <w:rsid w:val="00710DB2"/>
    <w:rsid w:val="00710F7D"/>
    <w:rsid w:val="00712038"/>
    <w:rsid w:val="00712BFF"/>
    <w:rsid w:val="00715DE3"/>
    <w:rsid w:val="00716708"/>
    <w:rsid w:val="00716F86"/>
    <w:rsid w:val="0071715B"/>
    <w:rsid w:val="007171EE"/>
    <w:rsid w:val="0071765E"/>
    <w:rsid w:val="00717B14"/>
    <w:rsid w:val="007210E6"/>
    <w:rsid w:val="00722064"/>
    <w:rsid w:val="007246AE"/>
    <w:rsid w:val="0072497D"/>
    <w:rsid w:val="0072561A"/>
    <w:rsid w:val="007269D0"/>
    <w:rsid w:val="00726B1E"/>
    <w:rsid w:val="00726E38"/>
    <w:rsid w:val="00727F3D"/>
    <w:rsid w:val="0073168F"/>
    <w:rsid w:val="00731739"/>
    <w:rsid w:val="007327F6"/>
    <w:rsid w:val="00732F08"/>
    <w:rsid w:val="00734768"/>
    <w:rsid w:val="007350C2"/>
    <w:rsid w:val="0073526A"/>
    <w:rsid w:val="00736D1E"/>
    <w:rsid w:val="007412BE"/>
    <w:rsid w:val="007416B1"/>
    <w:rsid w:val="00741837"/>
    <w:rsid w:val="00742358"/>
    <w:rsid w:val="00743A20"/>
    <w:rsid w:val="00743C45"/>
    <w:rsid w:val="007442E8"/>
    <w:rsid w:val="007444F5"/>
    <w:rsid w:val="00744B1E"/>
    <w:rsid w:val="0074682C"/>
    <w:rsid w:val="00747339"/>
    <w:rsid w:val="00750C7C"/>
    <w:rsid w:val="00753290"/>
    <w:rsid w:val="00754152"/>
    <w:rsid w:val="00754162"/>
    <w:rsid w:val="007542D4"/>
    <w:rsid w:val="0075501A"/>
    <w:rsid w:val="0075530F"/>
    <w:rsid w:val="00756982"/>
    <w:rsid w:val="0076062C"/>
    <w:rsid w:val="00761A0A"/>
    <w:rsid w:val="00761B3B"/>
    <w:rsid w:val="00762095"/>
    <w:rsid w:val="00762B75"/>
    <w:rsid w:val="00762EFD"/>
    <w:rsid w:val="00766062"/>
    <w:rsid w:val="00767C21"/>
    <w:rsid w:val="00770C5E"/>
    <w:rsid w:val="00770FE1"/>
    <w:rsid w:val="007740EC"/>
    <w:rsid w:val="00776D8E"/>
    <w:rsid w:val="00777A99"/>
    <w:rsid w:val="00783047"/>
    <w:rsid w:val="00784BC1"/>
    <w:rsid w:val="00786257"/>
    <w:rsid w:val="00786C1E"/>
    <w:rsid w:val="00790819"/>
    <w:rsid w:val="00790A6F"/>
    <w:rsid w:val="007918A3"/>
    <w:rsid w:val="00791A2F"/>
    <w:rsid w:val="00791AF6"/>
    <w:rsid w:val="00791CC1"/>
    <w:rsid w:val="007944E2"/>
    <w:rsid w:val="00795667"/>
    <w:rsid w:val="00797065"/>
    <w:rsid w:val="00797313"/>
    <w:rsid w:val="007978A2"/>
    <w:rsid w:val="00797FF2"/>
    <w:rsid w:val="007A0969"/>
    <w:rsid w:val="007A2ADA"/>
    <w:rsid w:val="007A2BE0"/>
    <w:rsid w:val="007A337F"/>
    <w:rsid w:val="007A37CD"/>
    <w:rsid w:val="007A5138"/>
    <w:rsid w:val="007A589D"/>
    <w:rsid w:val="007A623D"/>
    <w:rsid w:val="007A7091"/>
    <w:rsid w:val="007B1549"/>
    <w:rsid w:val="007B18FD"/>
    <w:rsid w:val="007B2C21"/>
    <w:rsid w:val="007B2C62"/>
    <w:rsid w:val="007B35ED"/>
    <w:rsid w:val="007B5939"/>
    <w:rsid w:val="007B7602"/>
    <w:rsid w:val="007B7A12"/>
    <w:rsid w:val="007C0491"/>
    <w:rsid w:val="007C0664"/>
    <w:rsid w:val="007C123D"/>
    <w:rsid w:val="007C29B7"/>
    <w:rsid w:val="007C39F6"/>
    <w:rsid w:val="007C56C4"/>
    <w:rsid w:val="007C59CA"/>
    <w:rsid w:val="007C642E"/>
    <w:rsid w:val="007D2610"/>
    <w:rsid w:val="007D3214"/>
    <w:rsid w:val="007D4131"/>
    <w:rsid w:val="007D5DA6"/>
    <w:rsid w:val="007D7BC3"/>
    <w:rsid w:val="007E0E3C"/>
    <w:rsid w:val="007E2D8F"/>
    <w:rsid w:val="007E6148"/>
    <w:rsid w:val="007E61C0"/>
    <w:rsid w:val="007E659F"/>
    <w:rsid w:val="007E6FF7"/>
    <w:rsid w:val="007E7C15"/>
    <w:rsid w:val="007F074C"/>
    <w:rsid w:val="007F0AC4"/>
    <w:rsid w:val="007F0FD6"/>
    <w:rsid w:val="007F150D"/>
    <w:rsid w:val="007F192A"/>
    <w:rsid w:val="007F3600"/>
    <w:rsid w:val="007F45C5"/>
    <w:rsid w:val="007F4783"/>
    <w:rsid w:val="007F5AAB"/>
    <w:rsid w:val="007F5EE2"/>
    <w:rsid w:val="007F665F"/>
    <w:rsid w:val="007F6748"/>
    <w:rsid w:val="00801220"/>
    <w:rsid w:val="00801D3C"/>
    <w:rsid w:val="008023AD"/>
    <w:rsid w:val="00804A39"/>
    <w:rsid w:val="00806584"/>
    <w:rsid w:val="00807261"/>
    <w:rsid w:val="00807947"/>
    <w:rsid w:val="0081114E"/>
    <w:rsid w:val="00813DBF"/>
    <w:rsid w:val="00814B14"/>
    <w:rsid w:val="00817065"/>
    <w:rsid w:val="008207D9"/>
    <w:rsid w:val="0082177A"/>
    <w:rsid w:val="00821E22"/>
    <w:rsid w:val="00823C80"/>
    <w:rsid w:val="0082472C"/>
    <w:rsid w:val="0082542E"/>
    <w:rsid w:val="00826291"/>
    <w:rsid w:val="00827741"/>
    <w:rsid w:val="00827DBD"/>
    <w:rsid w:val="00827E29"/>
    <w:rsid w:val="008311F4"/>
    <w:rsid w:val="0083209E"/>
    <w:rsid w:val="00832579"/>
    <w:rsid w:val="00832726"/>
    <w:rsid w:val="00835414"/>
    <w:rsid w:val="00836EBC"/>
    <w:rsid w:val="008375D2"/>
    <w:rsid w:val="008376F1"/>
    <w:rsid w:val="00842206"/>
    <w:rsid w:val="00842566"/>
    <w:rsid w:val="00842594"/>
    <w:rsid w:val="00842859"/>
    <w:rsid w:val="00842900"/>
    <w:rsid w:val="00842B2F"/>
    <w:rsid w:val="00843114"/>
    <w:rsid w:val="008446E6"/>
    <w:rsid w:val="00844A8C"/>
    <w:rsid w:val="0084515B"/>
    <w:rsid w:val="00847EBF"/>
    <w:rsid w:val="00850866"/>
    <w:rsid w:val="008513BA"/>
    <w:rsid w:val="008514F4"/>
    <w:rsid w:val="00853D81"/>
    <w:rsid w:val="00854C03"/>
    <w:rsid w:val="00855552"/>
    <w:rsid w:val="00856BD4"/>
    <w:rsid w:val="00857454"/>
    <w:rsid w:val="00860949"/>
    <w:rsid w:val="0086113F"/>
    <w:rsid w:val="008612EC"/>
    <w:rsid w:val="008631DC"/>
    <w:rsid w:val="00863AB1"/>
    <w:rsid w:val="00865846"/>
    <w:rsid w:val="00870479"/>
    <w:rsid w:val="0087292A"/>
    <w:rsid w:val="0087384A"/>
    <w:rsid w:val="00873FF1"/>
    <w:rsid w:val="008748EC"/>
    <w:rsid w:val="00877D87"/>
    <w:rsid w:val="00881E36"/>
    <w:rsid w:val="00882DF5"/>
    <w:rsid w:val="00882FE2"/>
    <w:rsid w:val="008841DC"/>
    <w:rsid w:val="00884628"/>
    <w:rsid w:val="00885516"/>
    <w:rsid w:val="008855A3"/>
    <w:rsid w:val="0088572B"/>
    <w:rsid w:val="0089100A"/>
    <w:rsid w:val="00892859"/>
    <w:rsid w:val="00892A2F"/>
    <w:rsid w:val="00892B0C"/>
    <w:rsid w:val="00893C51"/>
    <w:rsid w:val="00893EC1"/>
    <w:rsid w:val="008942B7"/>
    <w:rsid w:val="0089693E"/>
    <w:rsid w:val="00896F16"/>
    <w:rsid w:val="00897067"/>
    <w:rsid w:val="00897722"/>
    <w:rsid w:val="008A0BBF"/>
    <w:rsid w:val="008A0EE6"/>
    <w:rsid w:val="008A2AD8"/>
    <w:rsid w:val="008A61E7"/>
    <w:rsid w:val="008A6227"/>
    <w:rsid w:val="008A6460"/>
    <w:rsid w:val="008B0F02"/>
    <w:rsid w:val="008B2A2D"/>
    <w:rsid w:val="008B2AAB"/>
    <w:rsid w:val="008B53C0"/>
    <w:rsid w:val="008C1FFF"/>
    <w:rsid w:val="008C37CD"/>
    <w:rsid w:val="008C3ADD"/>
    <w:rsid w:val="008C54EC"/>
    <w:rsid w:val="008C6D70"/>
    <w:rsid w:val="008C6F99"/>
    <w:rsid w:val="008C7F13"/>
    <w:rsid w:val="008D072C"/>
    <w:rsid w:val="008D3414"/>
    <w:rsid w:val="008D498B"/>
    <w:rsid w:val="008D4F1F"/>
    <w:rsid w:val="008D564C"/>
    <w:rsid w:val="008D691E"/>
    <w:rsid w:val="008D6EAD"/>
    <w:rsid w:val="008D7101"/>
    <w:rsid w:val="008E2803"/>
    <w:rsid w:val="008E3F3B"/>
    <w:rsid w:val="008E4785"/>
    <w:rsid w:val="008E489E"/>
    <w:rsid w:val="008E4F0A"/>
    <w:rsid w:val="008E515F"/>
    <w:rsid w:val="008E54BC"/>
    <w:rsid w:val="008E6C54"/>
    <w:rsid w:val="008E6E7E"/>
    <w:rsid w:val="008F1076"/>
    <w:rsid w:val="008F3BF0"/>
    <w:rsid w:val="008F56A6"/>
    <w:rsid w:val="008F6533"/>
    <w:rsid w:val="008F6991"/>
    <w:rsid w:val="008F7E4C"/>
    <w:rsid w:val="0090093B"/>
    <w:rsid w:val="00900DA8"/>
    <w:rsid w:val="00901972"/>
    <w:rsid w:val="0090233D"/>
    <w:rsid w:val="009045F9"/>
    <w:rsid w:val="0090491C"/>
    <w:rsid w:val="009071D8"/>
    <w:rsid w:val="009073C5"/>
    <w:rsid w:val="009079D6"/>
    <w:rsid w:val="009102F9"/>
    <w:rsid w:val="00910C03"/>
    <w:rsid w:val="00911A28"/>
    <w:rsid w:val="00913697"/>
    <w:rsid w:val="00913A85"/>
    <w:rsid w:val="0091468F"/>
    <w:rsid w:val="00914840"/>
    <w:rsid w:val="00914F07"/>
    <w:rsid w:val="0091572B"/>
    <w:rsid w:val="00916865"/>
    <w:rsid w:val="009169F7"/>
    <w:rsid w:val="00916BA3"/>
    <w:rsid w:val="00917CC7"/>
    <w:rsid w:val="009200C8"/>
    <w:rsid w:val="009211E4"/>
    <w:rsid w:val="009213A1"/>
    <w:rsid w:val="00921AC5"/>
    <w:rsid w:val="00921B41"/>
    <w:rsid w:val="009220CD"/>
    <w:rsid w:val="00923F59"/>
    <w:rsid w:val="00925C01"/>
    <w:rsid w:val="00926A5C"/>
    <w:rsid w:val="00927D23"/>
    <w:rsid w:val="00930B0E"/>
    <w:rsid w:val="009315B6"/>
    <w:rsid w:val="009336DD"/>
    <w:rsid w:val="00933EB0"/>
    <w:rsid w:val="00935650"/>
    <w:rsid w:val="00935DC8"/>
    <w:rsid w:val="00936AF0"/>
    <w:rsid w:val="009372E1"/>
    <w:rsid w:val="0094003E"/>
    <w:rsid w:val="009418F3"/>
    <w:rsid w:val="0094234D"/>
    <w:rsid w:val="00943456"/>
    <w:rsid w:val="00943A3E"/>
    <w:rsid w:val="009443F9"/>
    <w:rsid w:val="0094449E"/>
    <w:rsid w:val="009450A0"/>
    <w:rsid w:val="009458B6"/>
    <w:rsid w:val="00945C4E"/>
    <w:rsid w:val="0095356F"/>
    <w:rsid w:val="00954B7E"/>
    <w:rsid w:val="009559DC"/>
    <w:rsid w:val="00955C55"/>
    <w:rsid w:val="00956C81"/>
    <w:rsid w:val="009607C8"/>
    <w:rsid w:val="00961806"/>
    <w:rsid w:val="009660B5"/>
    <w:rsid w:val="009670C0"/>
    <w:rsid w:val="0096734E"/>
    <w:rsid w:val="009708E2"/>
    <w:rsid w:val="009709A1"/>
    <w:rsid w:val="009713CA"/>
    <w:rsid w:val="0097216C"/>
    <w:rsid w:val="00972948"/>
    <w:rsid w:val="00973658"/>
    <w:rsid w:val="009762DB"/>
    <w:rsid w:val="009775CA"/>
    <w:rsid w:val="00981169"/>
    <w:rsid w:val="00983A84"/>
    <w:rsid w:val="00984273"/>
    <w:rsid w:val="00984843"/>
    <w:rsid w:val="00985987"/>
    <w:rsid w:val="00985D58"/>
    <w:rsid w:val="00990749"/>
    <w:rsid w:val="009908A8"/>
    <w:rsid w:val="00990B25"/>
    <w:rsid w:val="00991C0D"/>
    <w:rsid w:val="00992907"/>
    <w:rsid w:val="00992B29"/>
    <w:rsid w:val="00992FDF"/>
    <w:rsid w:val="0099665A"/>
    <w:rsid w:val="0099676A"/>
    <w:rsid w:val="009977A9"/>
    <w:rsid w:val="009A04E3"/>
    <w:rsid w:val="009A1926"/>
    <w:rsid w:val="009A31BE"/>
    <w:rsid w:val="009A3389"/>
    <w:rsid w:val="009A39D6"/>
    <w:rsid w:val="009A7BB4"/>
    <w:rsid w:val="009B0497"/>
    <w:rsid w:val="009B1CCD"/>
    <w:rsid w:val="009B2B20"/>
    <w:rsid w:val="009B5E2F"/>
    <w:rsid w:val="009B64D8"/>
    <w:rsid w:val="009B7D12"/>
    <w:rsid w:val="009C0C6D"/>
    <w:rsid w:val="009C1641"/>
    <w:rsid w:val="009C2D92"/>
    <w:rsid w:val="009C4593"/>
    <w:rsid w:val="009C57AF"/>
    <w:rsid w:val="009C5811"/>
    <w:rsid w:val="009C6230"/>
    <w:rsid w:val="009C6465"/>
    <w:rsid w:val="009D0B74"/>
    <w:rsid w:val="009D0F60"/>
    <w:rsid w:val="009D2F89"/>
    <w:rsid w:val="009D358E"/>
    <w:rsid w:val="009D47AE"/>
    <w:rsid w:val="009D5452"/>
    <w:rsid w:val="009D5CF7"/>
    <w:rsid w:val="009D74CC"/>
    <w:rsid w:val="009D75D7"/>
    <w:rsid w:val="009E04B4"/>
    <w:rsid w:val="009E0DB9"/>
    <w:rsid w:val="009E1072"/>
    <w:rsid w:val="009E1C70"/>
    <w:rsid w:val="009E3156"/>
    <w:rsid w:val="009E5762"/>
    <w:rsid w:val="009E5908"/>
    <w:rsid w:val="009E6219"/>
    <w:rsid w:val="009F05C5"/>
    <w:rsid w:val="009F33CC"/>
    <w:rsid w:val="009F420A"/>
    <w:rsid w:val="009F4418"/>
    <w:rsid w:val="00A01BBC"/>
    <w:rsid w:val="00A0561B"/>
    <w:rsid w:val="00A07705"/>
    <w:rsid w:val="00A10206"/>
    <w:rsid w:val="00A12269"/>
    <w:rsid w:val="00A1234B"/>
    <w:rsid w:val="00A146B6"/>
    <w:rsid w:val="00A14BCB"/>
    <w:rsid w:val="00A1502E"/>
    <w:rsid w:val="00A162D7"/>
    <w:rsid w:val="00A17020"/>
    <w:rsid w:val="00A174DA"/>
    <w:rsid w:val="00A175EB"/>
    <w:rsid w:val="00A17B36"/>
    <w:rsid w:val="00A17BDE"/>
    <w:rsid w:val="00A201A8"/>
    <w:rsid w:val="00A227F9"/>
    <w:rsid w:val="00A2528B"/>
    <w:rsid w:val="00A26502"/>
    <w:rsid w:val="00A26B10"/>
    <w:rsid w:val="00A26DB7"/>
    <w:rsid w:val="00A30522"/>
    <w:rsid w:val="00A3215E"/>
    <w:rsid w:val="00A34028"/>
    <w:rsid w:val="00A34C99"/>
    <w:rsid w:val="00A3561E"/>
    <w:rsid w:val="00A3654C"/>
    <w:rsid w:val="00A366A1"/>
    <w:rsid w:val="00A3692F"/>
    <w:rsid w:val="00A378C2"/>
    <w:rsid w:val="00A37A63"/>
    <w:rsid w:val="00A41D4D"/>
    <w:rsid w:val="00A41E36"/>
    <w:rsid w:val="00A421FE"/>
    <w:rsid w:val="00A46947"/>
    <w:rsid w:val="00A46994"/>
    <w:rsid w:val="00A4754F"/>
    <w:rsid w:val="00A47B8E"/>
    <w:rsid w:val="00A50BEA"/>
    <w:rsid w:val="00A52D07"/>
    <w:rsid w:val="00A55152"/>
    <w:rsid w:val="00A56C8A"/>
    <w:rsid w:val="00A607CD"/>
    <w:rsid w:val="00A60854"/>
    <w:rsid w:val="00A61608"/>
    <w:rsid w:val="00A61CF8"/>
    <w:rsid w:val="00A61E78"/>
    <w:rsid w:val="00A64476"/>
    <w:rsid w:val="00A653E0"/>
    <w:rsid w:val="00A653F9"/>
    <w:rsid w:val="00A662E1"/>
    <w:rsid w:val="00A663F5"/>
    <w:rsid w:val="00A70974"/>
    <w:rsid w:val="00A70D3C"/>
    <w:rsid w:val="00A7152A"/>
    <w:rsid w:val="00A72DE6"/>
    <w:rsid w:val="00A73F04"/>
    <w:rsid w:val="00A73FD3"/>
    <w:rsid w:val="00A746EF"/>
    <w:rsid w:val="00A74990"/>
    <w:rsid w:val="00A754F5"/>
    <w:rsid w:val="00A75583"/>
    <w:rsid w:val="00A767C5"/>
    <w:rsid w:val="00A7792D"/>
    <w:rsid w:val="00A80FC2"/>
    <w:rsid w:val="00A81BDF"/>
    <w:rsid w:val="00A82493"/>
    <w:rsid w:val="00A82693"/>
    <w:rsid w:val="00A846D3"/>
    <w:rsid w:val="00A85045"/>
    <w:rsid w:val="00A85619"/>
    <w:rsid w:val="00A85FD6"/>
    <w:rsid w:val="00A86150"/>
    <w:rsid w:val="00A87A6B"/>
    <w:rsid w:val="00A90874"/>
    <w:rsid w:val="00A90A9E"/>
    <w:rsid w:val="00A90F1E"/>
    <w:rsid w:val="00A91133"/>
    <w:rsid w:val="00A918A9"/>
    <w:rsid w:val="00A921BE"/>
    <w:rsid w:val="00A924E0"/>
    <w:rsid w:val="00A930A9"/>
    <w:rsid w:val="00A93D5B"/>
    <w:rsid w:val="00A9626B"/>
    <w:rsid w:val="00A96434"/>
    <w:rsid w:val="00A97AD2"/>
    <w:rsid w:val="00A97ED4"/>
    <w:rsid w:val="00AA0291"/>
    <w:rsid w:val="00AA0970"/>
    <w:rsid w:val="00AA3822"/>
    <w:rsid w:val="00AA4292"/>
    <w:rsid w:val="00AA4AC6"/>
    <w:rsid w:val="00AA5A1C"/>
    <w:rsid w:val="00AA5EE4"/>
    <w:rsid w:val="00AA704E"/>
    <w:rsid w:val="00AB1061"/>
    <w:rsid w:val="00AB1410"/>
    <w:rsid w:val="00AB16E0"/>
    <w:rsid w:val="00AB28DE"/>
    <w:rsid w:val="00AB2ED9"/>
    <w:rsid w:val="00AB353D"/>
    <w:rsid w:val="00AB3541"/>
    <w:rsid w:val="00AB4A5C"/>
    <w:rsid w:val="00AC1766"/>
    <w:rsid w:val="00AC1FD5"/>
    <w:rsid w:val="00AC22D6"/>
    <w:rsid w:val="00AC2AC9"/>
    <w:rsid w:val="00AC3E37"/>
    <w:rsid w:val="00AC4813"/>
    <w:rsid w:val="00AC4E6A"/>
    <w:rsid w:val="00AC5392"/>
    <w:rsid w:val="00AC5D22"/>
    <w:rsid w:val="00AC6313"/>
    <w:rsid w:val="00AC6E0B"/>
    <w:rsid w:val="00AC6F16"/>
    <w:rsid w:val="00AC7EBB"/>
    <w:rsid w:val="00AD121A"/>
    <w:rsid w:val="00AD190E"/>
    <w:rsid w:val="00AD1926"/>
    <w:rsid w:val="00AD1C9B"/>
    <w:rsid w:val="00AD1FEC"/>
    <w:rsid w:val="00AD2808"/>
    <w:rsid w:val="00AD2E8A"/>
    <w:rsid w:val="00AD4666"/>
    <w:rsid w:val="00AD495E"/>
    <w:rsid w:val="00AD4DEC"/>
    <w:rsid w:val="00AD6225"/>
    <w:rsid w:val="00AD75D6"/>
    <w:rsid w:val="00AE071C"/>
    <w:rsid w:val="00AE1336"/>
    <w:rsid w:val="00AE1D88"/>
    <w:rsid w:val="00AE21DD"/>
    <w:rsid w:val="00AE25A1"/>
    <w:rsid w:val="00AE2840"/>
    <w:rsid w:val="00AE335A"/>
    <w:rsid w:val="00AE33D6"/>
    <w:rsid w:val="00AE379E"/>
    <w:rsid w:val="00AE39AE"/>
    <w:rsid w:val="00AE4D56"/>
    <w:rsid w:val="00AE5981"/>
    <w:rsid w:val="00AE6023"/>
    <w:rsid w:val="00AF093C"/>
    <w:rsid w:val="00AF126C"/>
    <w:rsid w:val="00AF1B92"/>
    <w:rsid w:val="00AF4E53"/>
    <w:rsid w:val="00AF566B"/>
    <w:rsid w:val="00AF5F28"/>
    <w:rsid w:val="00AF60DE"/>
    <w:rsid w:val="00B00D00"/>
    <w:rsid w:val="00B0227A"/>
    <w:rsid w:val="00B02531"/>
    <w:rsid w:val="00B030EE"/>
    <w:rsid w:val="00B129D9"/>
    <w:rsid w:val="00B13CBA"/>
    <w:rsid w:val="00B15B8D"/>
    <w:rsid w:val="00B16569"/>
    <w:rsid w:val="00B17036"/>
    <w:rsid w:val="00B172C7"/>
    <w:rsid w:val="00B1743F"/>
    <w:rsid w:val="00B175F9"/>
    <w:rsid w:val="00B205EF"/>
    <w:rsid w:val="00B21399"/>
    <w:rsid w:val="00B228DA"/>
    <w:rsid w:val="00B22CBD"/>
    <w:rsid w:val="00B22E30"/>
    <w:rsid w:val="00B2311B"/>
    <w:rsid w:val="00B2322B"/>
    <w:rsid w:val="00B24144"/>
    <w:rsid w:val="00B318A8"/>
    <w:rsid w:val="00B32203"/>
    <w:rsid w:val="00B32420"/>
    <w:rsid w:val="00B36122"/>
    <w:rsid w:val="00B40840"/>
    <w:rsid w:val="00B41EDE"/>
    <w:rsid w:val="00B421C8"/>
    <w:rsid w:val="00B42841"/>
    <w:rsid w:val="00B4382F"/>
    <w:rsid w:val="00B4522A"/>
    <w:rsid w:val="00B4593B"/>
    <w:rsid w:val="00B47E88"/>
    <w:rsid w:val="00B512C6"/>
    <w:rsid w:val="00B513D4"/>
    <w:rsid w:val="00B51BBC"/>
    <w:rsid w:val="00B523F0"/>
    <w:rsid w:val="00B53DCC"/>
    <w:rsid w:val="00B548FE"/>
    <w:rsid w:val="00B54E72"/>
    <w:rsid w:val="00B55CF0"/>
    <w:rsid w:val="00B565A7"/>
    <w:rsid w:val="00B60D90"/>
    <w:rsid w:val="00B61672"/>
    <w:rsid w:val="00B6264E"/>
    <w:rsid w:val="00B62C3C"/>
    <w:rsid w:val="00B63C5E"/>
    <w:rsid w:val="00B63C88"/>
    <w:rsid w:val="00B64868"/>
    <w:rsid w:val="00B66C4E"/>
    <w:rsid w:val="00B6773B"/>
    <w:rsid w:val="00B67B35"/>
    <w:rsid w:val="00B70543"/>
    <w:rsid w:val="00B70B59"/>
    <w:rsid w:val="00B73B13"/>
    <w:rsid w:val="00B73E40"/>
    <w:rsid w:val="00B74E38"/>
    <w:rsid w:val="00B7520A"/>
    <w:rsid w:val="00B778DB"/>
    <w:rsid w:val="00B77B42"/>
    <w:rsid w:val="00B80C83"/>
    <w:rsid w:val="00B80F85"/>
    <w:rsid w:val="00B81B2E"/>
    <w:rsid w:val="00B8278B"/>
    <w:rsid w:val="00B82D84"/>
    <w:rsid w:val="00B8339B"/>
    <w:rsid w:val="00B8416B"/>
    <w:rsid w:val="00B85184"/>
    <w:rsid w:val="00B873DA"/>
    <w:rsid w:val="00B87623"/>
    <w:rsid w:val="00B924AC"/>
    <w:rsid w:val="00B92534"/>
    <w:rsid w:val="00B92D8E"/>
    <w:rsid w:val="00B94204"/>
    <w:rsid w:val="00B970C6"/>
    <w:rsid w:val="00B97EBD"/>
    <w:rsid w:val="00BA0419"/>
    <w:rsid w:val="00BA0E9C"/>
    <w:rsid w:val="00BA2060"/>
    <w:rsid w:val="00BA62B4"/>
    <w:rsid w:val="00BA6BF7"/>
    <w:rsid w:val="00BB1180"/>
    <w:rsid w:val="00BB1279"/>
    <w:rsid w:val="00BB1823"/>
    <w:rsid w:val="00BB242E"/>
    <w:rsid w:val="00BB24CA"/>
    <w:rsid w:val="00BB3FBB"/>
    <w:rsid w:val="00BB49FE"/>
    <w:rsid w:val="00BB72F7"/>
    <w:rsid w:val="00BB7E38"/>
    <w:rsid w:val="00BC0C42"/>
    <w:rsid w:val="00BC1307"/>
    <w:rsid w:val="00BC353D"/>
    <w:rsid w:val="00BC3F04"/>
    <w:rsid w:val="00BC533F"/>
    <w:rsid w:val="00BC5CE0"/>
    <w:rsid w:val="00BC71A6"/>
    <w:rsid w:val="00BC7C61"/>
    <w:rsid w:val="00BD03EA"/>
    <w:rsid w:val="00BD0F6A"/>
    <w:rsid w:val="00BD187D"/>
    <w:rsid w:val="00BD1FE5"/>
    <w:rsid w:val="00BD2032"/>
    <w:rsid w:val="00BD279D"/>
    <w:rsid w:val="00BD366C"/>
    <w:rsid w:val="00BD4D48"/>
    <w:rsid w:val="00BD60AF"/>
    <w:rsid w:val="00BD6748"/>
    <w:rsid w:val="00BD6ACA"/>
    <w:rsid w:val="00BD6AFF"/>
    <w:rsid w:val="00BE0B89"/>
    <w:rsid w:val="00BE0EE0"/>
    <w:rsid w:val="00BE1678"/>
    <w:rsid w:val="00BE168D"/>
    <w:rsid w:val="00BE1A08"/>
    <w:rsid w:val="00BE2673"/>
    <w:rsid w:val="00BE2E3D"/>
    <w:rsid w:val="00BE35F8"/>
    <w:rsid w:val="00BE5774"/>
    <w:rsid w:val="00BE6BB7"/>
    <w:rsid w:val="00BF3682"/>
    <w:rsid w:val="00BF4315"/>
    <w:rsid w:val="00BF4739"/>
    <w:rsid w:val="00BF684D"/>
    <w:rsid w:val="00BF7C5D"/>
    <w:rsid w:val="00C0023C"/>
    <w:rsid w:val="00C0053A"/>
    <w:rsid w:val="00C02401"/>
    <w:rsid w:val="00C02D34"/>
    <w:rsid w:val="00C03125"/>
    <w:rsid w:val="00C03BCF"/>
    <w:rsid w:val="00C047E6"/>
    <w:rsid w:val="00C067A1"/>
    <w:rsid w:val="00C068B4"/>
    <w:rsid w:val="00C06900"/>
    <w:rsid w:val="00C06992"/>
    <w:rsid w:val="00C0725E"/>
    <w:rsid w:val="00C11439"/>
    <w:rsid w:val="00C1218A"/>
    <w:rsid w:val="00C14703"/>
    <w:rsid w:val="00C14DF8"/>
    <w:rsid w:val="00C15F42"/>
    <w:rsid w:val="00C16074"/>
    <w:rsid w:val="00C17128"/>
    <w:rsid w:val="00C20081"/>
    <w:rsid w:val="00C22865"/>
    <w:rsid w:val="00C22BB4"/>
    <w:rsid w:val="00C22E55"/>
    <w:rsid w:val="00C2460F"/>
    <w:rsid w:val="00C26449"/>
    <w:rsid w:val="00C26DC4"/>
    <w:rsid w:val="00C27175"/>
    <w:rsid w:val="00C274B8"/>
    <w:rsid w:val="00C2778A"/>
    <w:rsid w:val="00C27B0B"/>
    <w:rsid w:val="00C321D7"/>
    <w:rsid w:val="00C328AE"/>
    <w:rsid w:val="00C32A18"/>
    <w:rsid w:val="00C3320A"/>
    <w:rsid w:val="00C34753"/>
    <w:rsid w:val="00C34DEF"/>
    <w:rsid w:val="00C36220"/>
    <w:rsid w:val="00C36676"/>
    <w:rsid w:val="00C36E3E"/>
    <w:rsid w:val="00C40184"/>
    <w:rsid w:val="00C417E0"/>
    <w:rsid w:val="00C41DE5"/>
    <w:rsid w:val="00C42532"/>
    <w:rsid w:val="00C4279C"/>
    <w:rsid w:val="00C43390"/>
    <w:rsid w:val="00C44640"/>
    <w:rsid w:val="00C44B57"/>
    <w:rsid w:val="00C453D2"/>
    <w:rsid w:val="00C477C2"/>
    <w:rsid w:val="00C47E6B"/>
    <w:rsid w:val="00C50F4F"/>
    <w:rsid w:val="00C51468"/>
    <w:rsid w:val="00C51C5D"/>
    <w:rsid w:val="00C52696"/>
    <w:rsid w:val="00C52763"/>
    <w:rsid w:val="00C52B60"/>
    <w:rsid w:val="00C534E6"/>
    <w:rsid w:val="00C53C87"/>
    <w:rsid w:val="00C542D7"/>
    <w:rsid w:val="00C549F6"/>
    <w:rsid w:val="00C555BC"/>
    <w:rsid w:val="00C571DE"/>
    <w:rsid w:val="00C624FB"/>
    <w:rsid w:val="00C630CC"/>
    <w:rsid w:val="00C65299"/>
    <w:rsid w:val="00C65A14"/>
    <w:rsid w:val="00C6717C"/>
    <w:rsid w:val="00C715B1"/>
    <w:rsid w:val="00C71D00"/>
    <w:rsid w:val="00C72819"/>
    <w:rsid w:val="00C74C24"/>
    <w:rsid w:val="00C7786B"/>
    <w:rsid w:val="00C800A9"/>
    <w:rsid w:val="00C837E4"/>
    <w:rsid w:val="00C84A4E"/>
    <w:rsid w:val="00C8588C"/>
    <w:rsid w:val="00C87F17"/>
    <w:rsid w:val="00C90619"/>
    <w:rsid w:val="00C91AD4"/>
    <w:rsid w:val="00C924B4"/>
    <w:rsid w:val="00C94F6C"/>
    <w:rsid w:val="00C95380"/>
    <w:rsid w:val="00C97315"/>
    <w:rsid w:val="00C97F19"/>
    <w:rsid w:val="00CA0DC6"/>
    <w:rsid w:val="00CA102C"/>
    <w:rsid w:val="00CA1CBB"/>
    <w:rsid w:val="00CA1D28"/>
    <w:rsid w:val="00CA237E"/>
    <w:rsid w:val="00CA27F3"/>
    <w:rsid w:val="00CA30F5"/>
    <w:rsid w:val="00CA322F"/>
    <w:rsid w:val="00CA4056"/>
    <w:rsid w:val="00CA54EB"/>
    <w:rsid w:val="00CB1F22"/>
    <w:rsid w:val="00CB3517"/>
    <w:rsid w:val="00CB553A"/>
    <w:rsid w:val="00CB5F27"/>
    <w:rsid w:val="00CB65B9"/>
    <w:rsid w:val="00CB666B"/>
    <w:rsid w:val="00CB674A"/>
    <w:rsid w:val="00CB72FF"/>
    <w:rsid w:val="00CC055A"/>
    <w:rsid w:val="00CC0E0D"/>
    <w:rsid w:val="00CC0F2E"/>
    <w:rsid w:val="00CC2AE9"/>
    <w:rsid w:val="00CC31CB"/>
    <w:rsid w:val="00CC38FD"/>
    <w:rsid w:val="00CC3CCB"/>
    <w:rsid w:val="00CC3D34"/>
    <w:rsid w:val="00CC49CD"/>
    <w:rsid w:val="00CC6A8F"/>
    <w:rsid w:val="00CC782D"/>
    <w:rsid w:val="00CC7917"/>
    <w:rsid w:val="00CD03AD"/>
    <w:rsid w:val="00CD140C"/>
    <w:rsid w:val="00CD2139"/>
    <w:rsid w:val="00CD2955"/>
    <w:rsid w:val="00CD32C6"/>
    <w:rsid w:val="00CD3FAA"/>
    <w:rsid w:val="00CD472B"/>
    <w:rsid w:val="00CD4E62"/>
    <w:rsid w:val="00CD505A"/>
    <w:rsid w:val="00CD5213"/>
    <w:rsid w:val="00CD62E0"/>
    <w:rsid w:val="00CD6582"/>
    <w:rsid w:val="00CD6926"/>
    <w:rsid w:val="00CD6CD1"/>
    <w:rsid w:val="00CE1778"/>
    <w:rsid w:val="00CE2281"/>
    <w:rsid w:val="00CE26F7"/>
    <w:rsid w:val="00CE3303"/>
    <w:rsid w:val="00CE33F3"/>
    <w:rsid w:val="00CE3D6F"/>
    <w:rsid w:val="00CE401D"/>
    <w:rsid w:val="00CE411B"/>
    <w:rsid w:val="00CE43C6"/>
    <w:rsid w:val="00CE6DD6"/>
    <w:rsid w:val="00CE7C30"/>
    <w:rsid w:val="00CE7C97"/>
    <w:rsid w:val="00CF02A3"/>
    <w:rsid w:val="00CF0F2F"/>
    <w:rsid w:val="00CF17B8"/>
    <w:rsid w:val="00CF242F"/>
    <w:rsid w:val="00CF282A"/>
    <w:rsid w:val="00CF3B84"/>
    <w:rsid w:val="00CF611F"/>
    <w:rsid w:val="00D00677"/>
    <w:rsid w:val="00D01C6E"/>
    <w:rsid w:val="00D0254F"/>
    <w:rsid w:val="00D025CD"/>
    <w:rsid w:val="00D042E8"/>
    <w:rsid w:val="00D04954"/>
    <w:rsid w:val="00D05089"/>
    <w:rsid w:val="00D055BC"/>
    <w:rsid w:val="00D05AFA"/>
    <w:rsid w:val="00D05D49"/>
    <w:rsid w:val="00D06737"/>
    <w:rsid w:val="00D06FD1"/>
    <w:rsid w:val="00D07333"/>
    <w:rsid w:val="00D0786F"/>
    <w:rsid w:val="00D107E3"/>
    <w:rsid w:val="00D10936"/>
    <w:rsid w:val="00D10CA1"/>
    <w:rsid w:val="00D11376"/>
    <w:rsid w:val="00D11D0D"/>
    <w:rsid w:val="00D122B9"/>
    <w:rsid w:val="00D1561B"/>
    <w:rsid w:val="00D158A4"/>
    <w:rsid w:val="00D15F8F"/>
    <w:rsid w:val="00D1626E"/>
    <w:rsid w:val="00D16F6E"/>
    <w:rsid w:val="00D2023B"/>
    <w:rsid w:val="00D21DD7"/>
    <w:rsid w:val="00D21E7A"/>
    <w:rsid w:val="00D2503D"/>
    <w:rsid w:val="00D256AB"/>
    <w:rsid w:val="00D30C76"/>
    <w:rsid w:val="00D311B3"/>
    <w:rsid w:val="00D31CDF"/>
    <w:rsid w:val="00D3296B"/>
    <w:rsid w:val="00D33060"/>
    <w:rsid w:val="00D34283"/>
    <w:rsid w:val="00D35688"/>
    <w:rsid w:val="00D36165"/>
    <w:rsid w:val="00D36E9B"/>
    <w:rsid w:val="00D375C2"/>
    <w:rsid w:val="00D40B0A"/>
    <w:rsid w:val="00D40F6C"/>
    <w:rsid w:val="00D41C6D"/>
    <w:rsid w:val="00D43A2F"/>
    <w:rsid w:val="00D43B86"/>
    <w:rsid w:val="00D448AC"/>
    <w:rsid w:val="00D44C5F"/>
    <w:rsid w:val="00D45254"/>
    <w:rsid w:val="00D4590B"/>
    <w:rsid w:val="00D45C04"/>
    <w:rsid w:val="00D5275E"/>
    <w:rsid w:val="00D537B6"/>
    <w:rsid w:val="00D53BB8"/>
    <w:rsid w:val="00D54E06"/>
    <w:rsid w:val="00D5502E"/>
    <w:rsid w:val="00D554E4"/>
    <w:rsid w:val="00D55C77"/>
    <w:rsid w:val="00D574C3"/>
    <w:rsid w:val="00D60DA9"/>
    <w:rsid w:val="00D61B76"/>
    <w:rsid w:val="00D61D5A"/>
    <w:rsid w:val="00D621CE"/>
    <w:rsid w:val="00D624AA"/>
    <w:rsid w:val="00D6257C"/>
    <w:rsid w:val="00D63C8A"/>
    <w:rsid w:val="00D63DC0"/>
    <w:rsid w:val="00D64CE9"/>
    <w:rsid w:val="00D65748"/>
    <w:rsid w:val="00D659F5"/>
    <w:rsid w:val="00D6605A"/>
    <w:rsid w:val="00D6626C"/>
    <w:rsid w:val="00D663AC"/>
    <w:rsid w:val="00D66730"/>
    <w:rsid w:val="00D6690F"/>
    <w:rsid w:val="00D67CFC"/>
    <w:rsid w:val="00D7292C"/>
    <w:rsid w:val="00D73C53"/>
    <w:rsid w:val="00D73F41"/>
    <w:rsid w:val="00D74754"/>
    <w:rsid w:val="00D748FC"/>
    <w:rsid w:val="00D74B06"/>
    <w:rsid w:val="00D74D9E"/>
    <w:rsid w:val="00D74E27"/>
    <w:rsid w:val="00D74FD1"/>
    <w:rsid w:val="00D75C3F"/>
    <w:rsid w:val="00D76238"/>
    <w:rsid w:val="00D7680D"/>
    <w:rsid w:val="00D772C5"/>
    <w:rsid w:val="00D77341"/>
    <w:rsid w:val="00D810BF"/>
    <w:rsid w:val="00D82454"/>
    <w:rsid w:val="00D82AC5"/>
    <w:rsid w:val="00D8366A"/>
    <w:rsid w:val="00D84FDE"/>
    <w:rsid w:val="00D85666"/>
    <w:rsid w:val="00D8597C"/>
    <w:rsid w:val="00D8684F"/>
    <w:rsid w:val="00D8685D"/>
    <w:rsid w:val="00D87221"/>
    <w:rsid w:val="00D87BE9"/>
    <w:rsid w:val="00D9032A"/>
    <w:rsid w:val="00D904A9"/>
    <w:rsid w:val="00D908EB"/>
    <w:rsid w:val="00D90D2F"/>
    <w:rsid w:val="00D90D7E"/>
    <w:rsid w:val="00D97562"/>
    <w:rsid w:val="00D97E48"/>
    <w:rsid w:val="00DA0755"/>
    <w:rsid w:val="00DA0E55"/>
    <w:rsid w:val="00DA0E84"/>
    <w:rsid w:val="00DA1E43"/>
    <w:rsid w:val="00DA3548"/>
    <w:rsid w:val="00DA3576"/>
    <w:rsid w:val="00DA3E01"/>
    <w:rsid w:val="00DA476B"/>
    <w:rsid w:val="00DA52D3"/>
    <w:rsid w:val="00DA5361"/>
    <w:rsid w:val="00DA6117"/>
    <w:rsid w:val="00DA64DF"/>
    <w:rsid w:val="00DB009F"/>
    <w:rsid w:val="00DB0225"/>
    <w:rsid w:val="00DB0584"/>
    <w:rsid w:val="00DB1CF6"/>
    <w:rsid w:val="00DB2D59"/>
    <w:rsid w:val="00DB4B40"/>
    <w:rsid w:val="00DB555C"/>
    <w:rsid w:val="00DB764F"/>
    <w:rsid w:val="00DC01A0"/>
    <w:rsid w:val="00DC021A"/>
    <w:rsid w:val="00DC0B16"/>
    <w:rsid w:val="00DC25BA"/>
    <w:rsid w:val="00DC271D"/>
    <w:rsid w:val="00DC3530"/>
    <w:rsid w:val="00DC3E38"/>
    <w:rsid w:val="00DC5224"/>
    <w:rsid w:val="00DC531F"/>
    <w:rsid w:val="00DC687E"/>
    <w:rsid w:val="00DC68FA"/>
    <w:rsid w:val="00DD016D"/>
    <w:rsid w:val="00DD03D7"/>
    <w:rsid w:val="00DD1F3E"/>
    <w:rsid w:val="00DD234E"/>
    <w:rsid w:val="00DD2770"/>
    <w:rsid w:val="00DD2F65"/>
    <w:rsid w:val="00DD3235"/>
    <w:rsid w:val="00DD38EE"/>
    <w:rsid w:val="00DD3DEF"/>
    <w:rsid w:val="00DD3E44"/>
    <w:rsid w:val="00DD5669"/>
    <w:rsid w:val="00DD5CCA"/>
    <w:rsid w:val="00DE0AE2"/>
    <w:rsid w:val="00DE103A"/>
    <w:rsid w:val="00DE104B"/>
    <w:rsid w:val="00DE16F1"/>
    <w:rsid w:val="00DE19ED"/>
    <w:rsid w:val="00DE3872"/>
    <w:rsid w:val="00DE4965"/>
    <w:rsid w:val="00DE5941"/>
    <w:rsid w:val="00DE636E"/>
    <w:rsid w:val="00DE7D8C"/>
    <w:rsid w:val="00DE7F12"/>
    <w:rsid w:val="00DF1EE6"/>
    <w:rsid w:val="00DF253F"/>
    <w:rsid w:val="00DF289A"/>
    <w:rsid w:val="00DF3023"/>
    <w:rsid w:val="00DF3074"/>
    <w:rsid w:val="00DF39D7"/>
    <w:rsid w:val="00DF4C2A"/>
    <w:rsid w:val="00DF5BD3"/>
    <w:rsid w:val="00E02342"/>
    <w:rsid w:val="00E02FBC"/>
    <w:rsid w:val="00E03638"/>
    <w:rsid w:val="00E056CB"/>
    <w:rsid w:val="00E05BD4"/>
    <w:rsid w:val="00E0653C"/>
    <w:rsid w:val="00E07320"/>
    <w:rsid w:val="00E07CCD"/>
    <w:rsid w:val="00E10CFE"/>
    <w:rsid w:val="00E110A5"/>
    <w:rsid w:val="00E1111C"/>
    <w:rsid w:val="00E1117D"/>
    <w:rsid w:val="00E11A14"/>
    <w:rsid w:val="00E12B7D"/>
    <w:rsid w:val="00E135CE"/>
    <w:rsid w:val="00E13A44"/>
    <w:rsid w:val="00E13FF6"/>
    <w:rsid w:val="00E14610"/>
    <w:rsid w:val="00E14EEA"/>
    <w:rsid w:val="00E16770"/>
    <w:rsid w:val="00E22542"/>
    <w:rsid w:val="00E22D38"/>
    <w:rsid w:val="00E23433"/>
    <w:rsid w:val="00E251B1"/>
    <w:rsid w:val="00E27158"/>
    <w:rsid w:val="00E272AF"/>
    <w:rsid w:val="00E31C6F"/>
    <w:rsid w:val="00E32CEA"/>
    <w:rsid w:val="00E356CA"/>
    <w:rsid w:val="00E35BAE"/>
    <w:rsid w:val="00E35D5E"/>
    <w:rsid w:val="00E36746"/>
    <w:rsid w:val="00E3739F"/>
    <w:rsid w:val="00E410F1"/>
    <w:rsid w:val="00E42D28"/>
    <w:rsid w:val="00E43EA8"/>
    <w:rsid w:val="00E44852"/>
    <w:rsid w:val="00E515E1"/>
    <w:rsid w:val="00E54083"/>
    <w:rsid w:val="00E5464D"/>
    <w:rsid w:val="00E549ED"/>
    <w:rsid w:val="00E551F8"/>
    <w:rsid w:val="00E55432"/>
    <w:rsid w:val="00E55EF5"/>
    <w:rsid w:val="00E560F8"/>
    <w:rsid w:val="00E56DD4"/>
    <w:rsid w:val="00E5767D"/>
    <w:rsid w:val="00E57A96"/>
    <w:rsid w:val="00E57C1E"/>
    <w:rsid w:val="00E608E3"/>
    <w:rsid w:val="00E61F06"/>
    <w:rsid w:val="00E65A67"/>
    <w:rsid w:val="00E66C22"/>
    <w:rsid w:val="00E67ECF"/>
    <w:rsid w:val="00E70E9F"/>
    <w:rsid w:val="00E7107C"/>
    <w:rsid w:val="00E7366D"/>
    <w:rsid w:val="00E73A32"/>
    <w:rsid w:val="00E73CC3"/>
    <w:rsid w:val="00E74124"/>
    <w:rsid w:val="00E75D03"/>
    <w:rsid w:val="00E774BF"/>
    <w:rsid w:val="00E777E4"/>
    <w:rsid w:val="00E805D6"/>
    <w:rsid w:val="00E810B4"/>
    <w:rsid w:val="00E81353"/>
    <w:rsid w:val="00E81955"/>
    <w:rsid w:val="00E82028"/>
    <w:rsid w:val="00E821BF"/>
    <w:rsid w:val="00E86E79"/>
    <w:rsid w:val="00E871E9"/>
    <w:rsid w:val="00E87A64"/>
    <w:rsid w:val="00E90380"/>
    <w:rsid w:val="00E920AE"/>
    <w:rsid w:val="00E92D79"/>
    <w:rsid w:val="00E949A5"/>
    <w:rsid w:val="00E95AD9"/>
    <w:rsid w:val="00E960E5"/>
    <w:rsid w:val="00E96152"/>
    <w:rsid w:val="00E9618A"/>
    <w:rsid w:val="00E9619E"/>
    <w:rsid w:val="00E96250"/>
    <w:rsid w:val="00EA030A"/>
    <w:rsid w:val="00EA2978"/>
    <w:rsid w:val="00EA7456"/>
    <w:rsid w:val="00EA7D87"/>
    <w:rsid w:val="00EB00B6"/>
    <w:rsid w:val="00EB1BE1"/>
    <w:rsid w:val="00EB3CF7"/>
    <w:rsid w:val="00EB4370"/>
    <w:rsid w:val="00EB4E06"/>
    <w:rsid w:val="00EB4E4B"/>
    <w:rsid w:val="00EB5638"/>
    <w:rsid w:val="00EB6EEE"/>
    <w:rsid w:val="00EB7E55"/>
    <w:rsid w:val="00EC0076"/>
    <w:rsid w:val="00EC12CD"/>
    <w:rsid w:val="00EC23B2"/>
    <w:rsid w:val="00EC2763"/>
    <w:rsid w:val="00EC33B3"/>
    <w:rsid w:val="00EC3787"/>
    <w:rsid w:val="00EC3906"/>
    <w:rsid w:val="00EC4ECA"/>
    <w:rsid w:val="00EC51E7"/>
    <w:rsid w:val="00EC5678"/>
    <w:rsid w:val="00EC571A"/>
    <w:rsid w:val="00EC58D4"/>
    <w:rsid w:val="00ED1941"/>
    <w:rsid w:val="00ED2AAE"/>
    <w:rsid w:val="00ED58C3"/>
    <w:rsid w:val="00ED5985"/>
    <w:rsid w:val="00ED5D2E"/>
    <w:rsid w:val="00ED66F5"/>
    <w:rsid w:val="00EE0600"/>
    <w:rsid w:val="00EE1C16"/>
    <w:rsid w:val="00EE1D5E"/>
    <w:rsid w:val="00EE21B9"/>
    <w:rsid w:val="00EE2D6B"/>
    <w:rsid w:val="00EE2F4C"/>
    <w:rsid w:val="00EE3988"/>
    <w:rsid w:val="00EE4D95"/>
    <w:rsid w:val="00EE5476"/>
    <w:rsid w:val="00EE59D6"/>
    <w:rsid w:val="00EE72BE"/>
    <w:rsid w:val="00EE7335"/>
    <w:rsid w:val="00EE7F64"/>
    <w:rsid w:val="00EF109C"/>
    <w:rsid w:val="00EF371C"/>
    <w:rsid w:val="00EF39D5"/>
    <w:rsid w:val="00EF3C5C"/>
    <w:rsid w:val="00EF5097"/>
    <w:rsid w:val="00EF694D"/>
    <w:rsid w:val="00F01523"/>
    <w:rsid w:val="00F02226"/>
    <w:rsid w:val="00F04A73"/>
    <w:rsid w:val="00F052B3"/>
    <w:rsid w:val="00F055F6"/>
    <w:rsid w:val="00F05A44"/>
    <w:rsid w:val="00F05BC1"/>
    <w:rsid w:val="00F07248"/>
    <w:rsid w:val="00F0752E"/>
    <w:rsid w:val="00F1070D"/>
    <w:rsid w:val="00F12034"/>
    <w:rsid w:val="00F12183"/>
    <w:rsid w:val="00F135A3"/>
    <w:rsid w:val="00F14260"/>
    <w:rsid w:val="00F14C20"/>
    <w:rsid w:val="00F16EC8"/>
    <w:rsid w:val="00F17D07"/>
    <w:rsid w:val="00F225BF"/>
    <w:rsid w:val="00F23109"/>
    <w:rsid w:val="00F23F43"/>
    <w:rsid w:val="00F25148"/>
    <w:rsid w:val="00F251DD"/>
    <w:rsid w:val="00F25DF5"/>
    <w:rsid w:val="00F2608C"/>
    <w:rsid w:val="00F2675C"/>
    <w:rsid w:val="00F273AF"/>
    <w:rsid w:val="00F278CE"/>
    <w:rsid w:val="00F27F67"/>
    <w:rsid w:val="00F313AE"/>
    <w:rsid w:val="00F32161"/>
    <w:rsid w:val="00F32373"/>
    <w:rsid w:val="00F33303"/>
    <w:rsid w:val="00F34EB4"/>
    <w:rsid w:val="00F35175"/>
    <w:rsid w:val="00F36777"/>
    <w:rsid w:val="00F40D82"/>
    <w:rsid w:val="00F41E69"/>
    <w:rsid w:val="00F423B1"/>
    <w:rsid w:val="00F43D4C"/>
    <w:rsid w:val="00F44D0D"/>
    <w:rsid w:val="00F45256"/>
    <w:rsid w:val="00F475AC"/>
    <w:rsid w:val="00F476EA"/>
    <w:rsid w:val="00F47C35"/>
    <w:rsid w:val="00F533A8"/>
    <w:rsid w:val="00F53D1C"/>
    <w:rsid w:val="00F53DBD"/>
    <w:rsid w:val="00F54895"/>
    <w:rsid w:val="00F54AF6"/>
    <w:rsid w:val="00F550BF"/>
    <w:rsid w:val="00F559E5"/>
    <w:rsid w:val="00F60F86"/>
    <w:rsid w:val="00F618FD"/>
    <w:rsid w:val="00F61C6B"/>
    <w:rsid w:val="00F61CA0"/>
    <w:rsid w:val="00F622AF"/>
    <w:rsid w:val="00F62AC0"/>
    <w:rsid w:val="00F63C87"/>
    <w:rsid w:val="00F64624"/>
    <w:rsid w:val="00F64D70"/>
    <w:rsid w:val="00F6728A"/>
    <w:rsid w:val="00F7089C"/>
    <w:rsid w:val="00F715B1"/>
    <w:rsid w:val="00F727AD"/>
    <w:rsid w:val="00F72E86"/>
    <w:rsid w:val="00F732F2"/>
    <w:rsid w:val="00F73C01"/>
    <w:rsid w:val="00F74316"/>
    <w:rsid w:val="00F74835"/>
    <w:rsid w:val="00F74FB5"/>
    <w:rsid w:val="00F7568D"/>
    <w:rsid w:val="00F756CE"/>
    <w:rsid w:val="00F76DC1"/>
    <w:rsid w:val="00F7711A"/>
    <w:rsid w:val="00F772D2"/>
    <w:rsid w:val="00F7746C"/>
    <w:rsid w:val="00F80CEB"/>
    <w:rsid w:val="00F81548"/>
    <w:rsid w:val="00F819F2"/>
    <w:rsid w:val="00F8340D"/>
    <w:rsid w:val="00F83916"/>
    <w:rsid w:val="00F84B99"/>
    <w:rsid w:val="00F8569A"/>
    <w:rsid w:val="00F857C3"/>
    <w:rsid w:val="00F85B4E"/>
    <w:rsid w:val="00F87916"/>
    <w:rsid w:val="00F87C30"/>
    <w:rsid w:val="00F90586"/>
    <w:rsid w:val="00F90FD5"/>
    <w:rsid w:val="00F91C43"/>
    <w:rsid w:val="00F925E6"/>
    <w:rsid w:val="00F946F3"/>
    <w:rsid w:val="00F96AF0"/>
    <w:rsid w:val="00F96C13"/>
    <w:rsid w:val="00F96F33"/>
    <w:rsid w:val="00F9750D"/>
    <w:rsid w:val="00F975EE"/>
    <w:rsid w:val="00FA0511"/>
    <w:rsid w:val="00FA0A55"/>
    <w:rsid w:val="00FA13F1"/>
    <w:rsid w:val="00FA1559"/>
    <w:rsid w:val="00FA317C"/>
    <w:rsid w:val="00FA40C7"/>
    <w:rsid w:val="00FA419C"/>
    <w:rsid w:val="00FA49EB"/>
    <w:rsid w:val="00FB1BC1"/>
    <w:rsid w:val="00FB1E75"/>
    <w:rsid w:val="00FB3122"/>
    <w:rsid w:val="00FB447C"/>
    <w:rsid w:val="00FB4843"/>
    <w:rsid w:val="00FB6106"/>
    <w:rsid w:val="00FB7614"/>
    <w:rsid w:val="00FC15CB"/>
    <w:rsid w:val="00FC199B"/>
    <w:rsid w:val="00FC2BF5"/>
    <w:rsid w:val="00FC332F"/>
    <w:rsid w:val="00FC3700"/>
    <w:rsid w:val="00FC4359"/>
    <w:rsid w:val="00FC6167"/>
    <w:rsid w:val="00FC74F7"/>
    <w:rsid w:val="00FD0C89"/>
    <w:rsid w:val="00FD20CC"/>
    <w:rsid w:val="00FD3FB1"/>
    <w:rsid w:val="00FD680E"/>
    <w:rsid w:val="00FE141D"/>
    <w:rsid w:val="00FE14DB"/>
    <w:rsid w:val="00FE216D"/>
    <w:rsid w:val="00FE21FC"/>
    <w:rsid w:val="00FE2E61"/>
    <w:rsid w:val="00FE325E"/>
    <w:rsid w:val="00FE3513"/>
    <w:rsid w:val="00FE3A34"/>
    <w:rsid w:val="00FE43C8"/>
    <w:rsid w:val="00FE48A5"/>
    <w:rsid w:val="00FE4A48"/>
    <w:rsid w:val="00FE4C1C"/>
    <w:rsid w:val="00FE573D"/>
    <w:rsid w:val="00FE64E8"/>
    <w:rsid w:val="00FE7BB6"/>
    <w:rsid w:val="00FE7BC4"/>
    <w:rsid w:val="00FE7BFD"/>
    <w:rsid w:val="00FF0678"/>
    <w:rsid w:val="00FF28D8"/>
    <w:rsid w:val="00FF45EF"/>
    <w:rsid w:val="00FF4BA9"/>
    <w:rsid w:val="00FF5955"/>
    <w:rsid w:val="00FF5FE1"/>
    <w:rsid w:val="00FF6240"/>
    <w:rsid w:val="00FF6CC0"/>
    <w:rsid w:val="00FF6CF3"/>
    <w:rsid w:val="00FF75B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0B39DD"/>
  <w15:docId w15:val="{947BE8DF-96EE-48F6-B881-426E721F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17D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lang w:val="en-US" w:eastAsia="ja-JP"/>
    </w:rPr>
  </w:style>
  <w:style w:type="paragraph" w:styleId="Heading2">
    <w:name w:val="heading 2"/>
    <w:basedOn w:val="Normal"/>
    <w:next w:val="Normal"/>
    <w:link w:val="Heading2Char"/>
    <w:uiPriority w:val="9"/>
    <w:unhideWhenUsed/>
    <w:qFormat/>
    <w:rsid w:val="001E56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7D3"/>
    <w:rPr>
      <w:rFonts w:asciiTheme="majorHAnsi" w:eastAsiaTheme="majorEastAsia" w:hAnsiTheme="majorHAnsi" w:cstheme="majorBidi"/>
      <w:color w:val="1F3864" w:themeColor="accent1" w:themeShade="80"/>
      <w:sz w:val="36"/>
      <w:szCs w:val="36"/>
      <w:lang w:val="en-US" w:eastAsia="ja-JP"/>
    </w:rPr>
  </w:style>
  <w:style w:type="character" w:styleId="FootnoteReference">
    <w:name w:val="footnote reference"/>
    <w:basedOn w:val="DefaultParagraphFont"/>
    <w:uiPriority w:val="99"/>
    <w:semiHidden/>
    <w:unhideWhenUsed/>
    <w:rsid w:val="004D17D3"/>
    <w:rPr>
      <w:vertAlign w:val="superscript"/>
    </w:rPr>
  </w:style>
  <w:style w:type="paragraph" w:styleId="Header">
    <w:name w:val="header"/>
    <w:basedOn w:val="Normal"/>
    <w:link w:val="HeaderChar"/>
    <w:uiPriority w:val="99"/>
    <w:unhideWhenUsed/>
    <w:rsid w:val="00285E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85E2E"/>
  </w:style>
  <w:style w:type="paragraph" w:styleId="Footer">
    <w:name w:val="footer"/>
    <w:basedOn w:val="Normal"/>
    <w:link w:val="FooterChar"/>
    <w:uiPriority w:val="99"/>
    <w:unhideWhenUsed/>
    <w:rsid w:val="00285E2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85E2E"/>
  </w:style>
  <w:style w:type="character" w:styleId="CommentReference">
    <w:name w:val="annotation reference"/>
    <w:basedOn w:val="DefaultParagraphFont"/>
    <w:uiPriority w:val="99"/>
    <w:semiHidden/>
    <w:unhideWhenUsed/>
    <w:rsid w:val="00F819F2"/>
    <w:rPr>
      <w:sz w:val="16"/>
      <w:szCs w:val="16"/>
    </w:rPr>
  </w:style>
  <w:style w:type="paragraph" w:styleId="CommentText">
    <w:name w:val="annotation text"/>
    <w:basedOn w:val="Normal"/>
    <w:link w:val="CommentTextChar"/>
    <w:uiPriority w:val="99"/>
    <w:unhideWhenUsed/>
    <w:rsid w:val="00F819F2"/>
    <w:pPr>
      <w:spacing w:line="240" w:lineRule="auto"/>
    </w:pPr>
    <w:rPr>
      <w:lang w:val="en-US" w:eastAsia="ja-JP"/>
    </w:rPr>
  </w:style>
  <w:style w:type="character" w:customStyle="1" w:styleId="CommentTextChar">
    <w:name w:val="Comment Text Char"/>
    <w:basedOn w:val="DefaultParagraphFont"/>
    <w:link w:val="CommentText"/>
    <w:uiPriority w:val="99"/>
    <w:rsid w:val="00F819F2"/>
    <w:rPr>
      <w:lang w:val="en-US" w:eastAsia="ja-JP"/>
    </w:rPr>
  </w:style>
  <w:style w:type="paragraph" w:styleId="BalloonText">
    <w:name w:val="Balloon Text"/>
    <w:basedOn w:val="Normal"/>
    <w:link w:val="BalloonTextChar"/>
    <w:uiPriority w:val="99"/>
    <w:semiHidden/>
    <w:unhideWhenUsed/>
    <w:rsid w:val="00F81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F2"/>
    <w:rPr>
      <w:rFonts w:ascii="Segoe UI" w:hAnsi="Segoe UI" w:cs="Segoe UI"/>
      <w:sz w:val="18"/>
      <w:szCs w:val="18"/>
    </w:rPr>
  </w:style>
  <w:style w:type="paragraph" w:customStyle="1" w:styleId="EndNoteBibliographyTitle">
    <w:name w:val="EndNote Bibliography Title"/>
    <w:basedOn w:val="Normal"/>
    <w:link w:val="EndNoteBibliographyTitleChar"/>
    <w:rsid w:val="00DE19E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E19ED"/>
    <w:rPr>
      <w:rFonts w:ascii="Calibri" w:hAnsi="Calibri" w:cs="Calibri"/>
      <w:noProof/>
    </w:rPr>
  </w:style>
  <w:style w:type="paragraph" w:customStyle="1" w:styleId="EndNoteBibliography">
    <w:name w:val="EndNote Bibliography"/>
    <w:basedOn w:val="Normal"/>
    <w:link w:val="EndNoteBibliographyChar"/>
    <w:rsid w:val="00DE19E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E19ED"/>
    <w:rPr>
      <w:rFonts w:ascii="Calibri" w:hAnsi="Calibri" w:cs="Calibri"/>
      <w:noProof/>
    </w:rPr>
  </w:style>
  <w:style w:type="paragraph" w:styleId="CommentSubject">
    <w:name w:val="annotation subject"/>
    <w:basedOn w:val="CommentText"/>
    <w:next w:val="CommentText"/>
    <w:link w:val="CommentSubjectChar"/>
    <w:uiPriority w:val="99"/>
    <w:semiHidden/>
    <w:unhideWhenUsed/>
    <w:rsid w:val="00166218"/>
    <w:rPr>
      <w:b/>
      <w:bCs/>
      <w:sz w:val="20"/>
      <w:szCs w:val="20"/>
      <w:lang w:val="en-GB" w:eastAsia="zh-CN"/>
    </w:rPr>
  </w:style>
  <w:style w:type="character" w:customStyle="1" w:styleId="CommentSubjectChar">
    <w:name w:val="Comment Subject Char"/>
    <w:basedOn w:val="CommentTextChar"/>
    <w:link w:val="CommentSubject"/>
    <w:uiPriority w:val="99"/>
    <w:semiHidden/>
    <w:rsid w:val="00166218"/>
    <w:rPr>
      <w:b/>
      <w:bCs/>
      <w:sz w:val="20"/>
      <w:szCs w:val="20"/>
      <w:lang w:val="en-US" w:eastAsia="ja-JP"/>
    </w:rPr>
  </w:style>
  <w:style w:type="paragraph" w:styleId="NormalWeb">
    <w:name w:val="Normal (Web)"/>
    <w:basedOn w:val="Normal"/>
    <w:uiPriority w:val="99"/>
    <w:semiHidden/>
    <w:unhideWhenUsed/>
    <w:rsid w:val="005C7966"/>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F975EE"/>
    <w:pPr>
      <w:ind w:left="720"/>
      <w:contextualSpacing/>
    </w:pPr>
  </w:style>
  <w:style w:type="paragraph" w:styleId="Revision">
    <w:name w:val="Revision"/>
    <w:hidden/>
    <w:uiPriority w:val="99"/>
    <w:semiHidden/>
    <w:rsid w:val="00B94204"/>
    <w:pPr>
      <w:spacing w:after="0" w:line="240" w:lineRule="auto"/>
    </w:pPr>
  </w:style>
  <w:style w:type="character" w:styleId="Emphasis">
    <w:name w:val="Emphasis"/>
    <w:basedOn w:val="DefaultParagraphFont"/>
    <w:uiPriority w:val="20"/>
    <w:qFormat/>
    <w:rsid w:val="00BD4D48"/>
    <w:rPr>
      <w:i/>
      <w:iCs/>
    </w:rPr>
  </w:style>
  <w:style w:type="paragraph" w:styleId="BodyText">
    <w:name w:val="Body Text"/>
    <w:basedOn w:val="Normal"/>
    <w:link w:val="BodyTextChar"/>
    <w:uiPriority w:val="99"/>
    <w:unhideWhenUsed/>
    <w:rsid w:val="00D3296B"/>
    <w:pPr>
      <w:spacing w:after="120"/>
    </w:pPr>
    <w:rPr>
      <w:rFonts w:eastAsiaTheme="minorHAnsi"/>
      <w:lang w:eastAsia="en-US"/>
    </w:rPr>
  </w:style>
  <w:style w:type="character" w:customStyle="1" w:styleId="BodyTextChar">
    <w:name w:val="Body Text Char"/>
    <w:basedOn w:val="DefaultParagraphFont"/>
    <w:link w:val="BodyText"/>
    <w:uiPriority w:val="99"/>
    <w:rsid w:val="00D3296B"/>
    <w:rPr>
      <w:rFonts w:eastAsiaTheme="minorHAnsi"/>
      <w:lang w:eastAsia="en-US"/>
    </w:rPr>
  </w:style>
  <w:style w:type="paragraph" w:styleId="Title">
    <w:name w:val="Title"/>
    <w:basedOn w:val="Normal"/>
    <w:next w:val="Normal"/>
    <w:link w:val="TitleChar"/>
    <w:qFormat/>
    <w:rsid w:val="00E13FF6"/>
    <w:pPr>
      <w:suppressAutoHyphens/>
      <w:spacing w:after="0" w:line="480" w:lineRule="auto"/>
      <w:jc w:val="center"/>
    </w:pPr>
    <w:rPr>
      <w:rFonts w:ascii="Times New Roman" w:eastAsia="Times New Roman" w:hAnsi="Times New Roman" w:cs="Times New Roman"/>
      <w:b/>
      <w:sz w:val="24"/>
      <w:szCs w:val="20"/>
      <w:lang w:val="en-US" w:eastAsia="ar-SA"/>
    </w:rPr>
  </w:style>
  <w:style w:type="character" w:customStyle="1" w:styleId="TitleChar">
    <w:name w:val="Title Char"/>
    <w:basedOn w:val="DefaultParagraphFont"/>
    <w:link w:val="Title"/>
    <w:rsid w:val="00E13FF6"/>
    <w:rPr>
      <w:rFonts w:ascii="Times New Roman" w:eastAsia="Times New Roman" w:hAnsi="Times New Roman" w:cs="Times New Roman"/>
      <w:b/>
      <w:sz w:val="24"/>
      <w:szCs w:val="20"/>
      <w:lang w:val="en-US" w:eastAsia="ar-SA"/>
    </w:rPr>
  </w:style>
  <w:style w:type="character" w:styleId="Hyperlink">
    <w:name w:val="Hyperlink"/>
    <w:basedOn w:val="DefaultParagraphFont"/>
    <w:uiPriority w:val="99"/>
    <w:unhideWhenUsed/>
    <w:rsid w:val="00FE7BB6"/>
    <w:rPr>
      <w:color w:val="0000FF"/>
      <w:u w:val="single"/>
    </w:rPr>
  </w:style>
  <w:style w:type="character" w:customStyle="1" w:styleId="UnresolvedMention1">
    <w:name w:val="Unresolved Mention1"/>
    <w:basedOn w:val="DefaultParagraphFont"/>
    <w:uiPriority w:val="99"/>
    <w:semiHidden/>
    <w:unhideWhenUsed/>
    <w:rsid w:val="008C6D70"/>
    <w:rPr>
      <w:color w:val="808080"/>
      <w:shd w:val="clear" w:color="auto" w:fill="E6E6E6"/>
    </w:rPr>
  </w:style>
  <w:style w:type="character" w:customStyle="1" w:styleId="apple-converted-space">
    <w:name w:val="apple-converted-space"/>
    <w:basedOn w:val="DefaultParagraphFont"/>
    <w:rsid w:val="00CA54EB"/>
  </w:style>
  <w:style w:type="character" w:customStyle="1" w:styleId="UnresolvedMention2">
    <w:name w:val="Unresolved Mention2"/>
    <w:basedOn w:val="DefaultParagraphFont"/>
    <w:uiPriority w:val="99"/>
    <w:rsid w:val="00D34283"/>
    <w:rPr>
      <w:color w:val="808080"/>
      <w:shd w:val="clear" w:color="auto" w:fill="E6E6E6"/>
    </w:rPr>
  </w:style>
  <w:style w:type="character" w:customStyle="1" w:styleId="UnresolvedMention3">
    <w:name w:val="Unresolved Mention3"/>
    <w:basedOn w:val="DefaultParagraphFont"/>
    <w:uiPriority w:val="99"/>
    <w:rsid w:val="00A17BDE"/>
    <w:rPr>
      <w:color w:val="808080"/>
      <w:shd w:val="clear" w:color="auto" w:fill="E6E6E6"/>
    </w:rPr>
  </w:style>
  <w:style w:type="character" w:styleId="PageNumber">
    <w:name w:val="page number"/>
    <w:basedOn w:val="DefaultParagraphFont"/>
    <w:uiPriority w:val="99"/>
    <w:semiHidden/>
    <w:unhideWhenUsed/>
    <w:rsid w:val="005F4361"/>
  </w:style>
  <w:style w:type="character" w:styleId="FollowedHyperlink">
    <w:name w:val="FollowedHyperlink"/>
    <w:basedOn w:val="DefaultParagraphFont"/>
    <w:uiPriority w:val="99"/>
    <w:semiHidden/>
    <w:unhideWhenUsed/>
    <w:rsid w:val="00AA5A1C"/>
    <w:rPr>
      <w:color w:val="954F72" w:themeColor="followedHyperlink"/>
      <w:u w:val="single"/>
    </w:rPr>
  </w:style>
  <w:style w:type="character" w:customStyle="1" w:styleId="UnresolvedMention4">
    <w:name w:val="Unresolved Mention4"/>
    <w:basedOn w:val="DefaultParagraphFont"/>
    <w:uiPriority w:val="99"/>
    <w:semiHidden/>
    <w:unhideWhenUsed/>
    <w:rsid w:val="00E9618A"/>
    <w:rPr>
      <w:color w:val="605E5C"/>
      <w:shd w:val="clear" w:color="auto" w:fill="E1DFDD"/>
    </w:rPr>
  </w:style>
  <w:style w:type="character" w:customStyle="1" w:styleId="UnresolvedMention5">
    <w:name w:val="Unresolved Mention5"/>
    <w:basedOn w:val="DefaultParagraphFont"/>
    <w:uiPriority w:val="99"/>
    <w:rsid w:val="00CF3B84"/>
    <w:rPr>
      <w:color w:val="605E5C"/>
      <w:shd w:val="clear" w:color="auto" w:fill="E1DFDD"/>
    </w:rPr>
  </w:style>
  <w:style w:type="table" w:styleId="TableGrid">
    <w:name w:val="Table Grid"/>
    <w:basedOn w:val="TableNormal"/>
    <w:uiPriority w:val="59"/>
    <w:rsid w:val="007B7A12"/>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5412"/>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Heading2Char">
    <w:name w:val="Heading 2 Char"/>
    <w:basedOn w:val="DefaultParagraphFont"/>
    <w:link w:val="Heading2"/>
    <w:uiPriority w:val="9"/>
    <w:rsid w:val="001E563C"/>
    <w:rPr>
      <w:rFonts w:asciiTheme="majorHAnsi" w:eastAsiaTheme="majorEastAsia" w:hAnsiTheme="majorHAnsi" w:cstheme="majorBidi"/>
      <w:color w:val="2F5496" w:themeColor="accent1" w:themeShade="BF"/>
      <w:sz w:val="26"/>
      <w:szCs w:val="26"/>
    </w:rPr>
  </w:style>
  <w:style w:type="character" w:customStyle="1" w:styleId="bidi">
    <w:name w:val="bidi"/>
    <w:basedOn w:val="DefaultParagraphFont"/>
    <w:rsid w:val="000C3323"/>
  </w:style>
  <w:style w:type="character" w:customStyle="1" w:styleId="UnresolvedMention6">
    <w:name w:val="Unresolved Mention6"/>
    <w:basedOn w:val="DefaultParagraphFont"/>
    <w:uiPriority w:val="99"/>
    <w:semiHidden/>
    <w:unhideWhenUsed/>
    <w:rsid w:val="00750C7C"/>
    <w:rPr>
      <w:color w:val="605E5C"/>
      <w:shd w:val="clear" w:color="auto" w:fill="E1DFDD"/>
    </w:rPr>
  </w:style>
  <w:style w:type="character" w:customStyle="1" w:styleId="UnresolvedMention7">
    <w:name w:val="Unresolved Mention7"/>
    <w:basedOn w:val="DefaultParagraphFont"/>
    <w:uiPriority w:val="99"/>
    <w:semiHidden/>
    <w:unhideWhenUsed/>
    <w:rsid w:val="001A255F"/>
    <w:rPr>
      <w:color w:val="605E5C"/>
      <w:shd w:val="clear" w:color="auto" w:fill="E1DFDD"/>
    </w:rPr>
  </w:style>
  <w:style w:type="character" w:styleId="UnresolvedMention">
    <w:name w:val="Unresolved Mention"/>
    <w:basedOn w:val="DefaultParagraphFont"/>
    <w:uiPriority w:val="99"/>
    <w:semiHidden/>
    <w:unhideWhenUsed/>
    <w:rsid w:val="00586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6482">
      <w:bodyDiv w:val="1"/>
      <w:marLeft w:val="0"/>
      <w:marRight w:val="0"/>
      <w:marTop w:val="0"/>
      <w:marBottom w:val="0"/>
      <w:divBdr>
        <w:top w:val="none" w:sz="0" w:space="0" w:color="auto"/>
        <w:left w:val="none" w:sz="0" w:space="0" w:color="auto"/>
        <w:bottom w:val="none" w:sz="0" w:space="0" w:color="auto"/>
        <w:right w:val="none" w:sz="0" w:space="0" w:color="auto"/>
      </w:divBdr>
      <w:divsChild>
        <w:div w:id="1445660536">
          <w:marLeft w:val="0"/>
          <w:marRight w:val="0"/>
          <w:marTop w:val="0"/>
          <w:marBottom w:val="0"/>
          <w:divBdr>
            <w:top w:val="none" w:sz="0" w:space="0" w:color="auto"/>
            <w:left w:val="none" w:sz="0" w:space="0" w:color="auto"/>
            <w:bottom w:val="none" w:sz="0" w:space="0" w:color="auto"/>
            <w:right w:val="none" w:sz="0" w:space="0" w:color="auto"/>
          </w:divBdr>
          <w:divsChild>
            <w:div w:id="1804929634">
              <w:marLeft w:val="0"/>
              <w:marRight w:val="0"/>
              <w:marTop w:val="0"/>
              <w:marBottom w:val="0"/>
              <w:divBdr>
                <w:top w:val="none" w:sz="0" w:space="0" w:color="auto"/>
                <w:left w:val="none" w:sz="0" w:space="0" w:color="auto"/>
                <w:bottom w:val="none" w:sz="0" w:space="0" w:color="auto"/>
                <w:right w:val="none" w:sz="0" w:space="0" w:color="auto"/>
              </w:divBdr>
              <w:divsChild>
                <w:div w:id="1064991091">
                  <w:marLeft w:val="0"/>
                  <w:marRight w:val="0"/>
                  <w:marTop w:val="0"/>
                  <w:marBottom w:val="0"/>
                  <w:divBdr>
                    <w:top w:val="none" w:sz="0" w:space="0" w:color="auto"/>
                    <w:left w:val="none" w:sz="0" w:space="0" w:color="auto"/>
                    <w:bottom w:val="none" w:sz="0" w:space="0" w:color="auto"/>
                    <w:right w:val="none" w:sz="0" w:space="0" w:color="auto"/>
                  </w:divBdr>
                  <w:divsChild>
                    <w:div w:id="3846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86929">
      <w:bodyDiv w:val="1"/>
      <w:marLeft w:val="0"/>
      <w:marRight w:val="0"/>
      <w:marTop w:val="0"/>
      <w:marBottom w:val="0"/>
      <w:divBdr>
        <w:top w:val="none" w:sz="0" w:space="0" w:color="auto"/>
        <w:left w:val="none" w:sz="0" w:space="0" w:color="auto"/>
        <w:bottom w:val="none" w:sz="0" w:space="0" w:color="auto"/>
        <w:right w:val="none" w:sz="0" w:space="0" w:color="auto"/>
      </w:divBdr>
    </w:div>
    <w:div w:id="127171412">
      <w:bodyDiv w:val="1"/>
      <w:marLeft w:val="0"/>
      <w:marRight w:val="0"/>
      <w:marTop w:val="0"/>
      <w:marBottom w:val="0"/>
      <w:divBdr>
        <w:top w:val="none" w:sz="0" w:space="0" w:color="auto"/>
        <w:left w:val="none" w:sz="0" w:space="0" w:color="auto"/>
        <w:bottom w:val="none" w:sz="0" w:space="0" w:color="auto"/>
        <w:right w:val="none" w:sz="0" w:space="0" w:color="auto"/>
      </w:divBdr>
    </w:div>
    <w:div w:id="464851965">
      <w:bodyDiv w:val="1"/>
      <w:marLeft w:val="0"/>
      <w:marRight w:val="0"/>
      <w:marTop w:val="0"/>
      <w:marBottom w:val="0"/>
      <w:divBdr>
        <w:top w:val="none" w:sz="0" w:space="0" w:color="auto"/>
        <w:left w:val="none" w:sz="0" w:space="0" w:color="auto"/>
        <w:bottom w:val="none" w:sz="0" w:space="0" w:color="auto"/>
        <w:right w:val="none" w:sz="0" w:space="0" w:color="auto"/>
      </w:divBdr>
    </w:div>
    <w:div w:id="483205316">
      <w:bodyDiv w:val="1"/>
      <w:marLeft w:val="0"/>
      <w:marRight w:val="0"/>
      <w:marTop w:val="0"/>
      <w:marBottom w:val="0"/>
      <w:divBdr>
        <w:top w:val="none" w:sz="0" w:space="0" w:color="auto"/>
        <w:left w:val="none" w:sz="0" w:space="0" w:color="auto"/>
        <w:bottom w:val="none" w:sz="0" w:space="0" w:color="auto"/>
        <w:right w:val="none" w:sz="0" w:space="0" w:color="auto"/>
      </w:divBdr>
    </w:div>
    <w:div w:id="568462222">
      <w:bodyDiv w:val="1"/>
      <w:marLeft w:val="0"/>
      <w:marRight w:val="0"/>
      <w:marTop w:val="0"/>
      <w:marBottom w:val="0"/>
      <w:divBdr>
        <w:top w:val="none" w:sz="0" w:space="0" w:color="auto"/>
        <w:left w:val="none" w:sz="0" w:space="0" w:color="auto"/>
        <w:bottom w:val="none" w:sz="0" w:space="0" w:color="auto"/>
        <w:right w:val="none" w:sz="0" w:space="0" w:color="auto"/>
      </w:divBdr>
    </w:div>
    <w:div w:id="650445258">
      <w:bodyDiv w:val="1"/>
      <w:marLeft w:val="0"/>
      <w:marRight w:val="0"/>
      <w:marTop w:val="0"/>
      <w:marBottom w:val="0"/>
      <w:divBdr>
        <w:top w:val="none" w:sz="0" w:space="0" w:color="auto"/>
        <w:left w:val="none" w:sz="0" w:space="0" w:color="auto"/>
        <w:bottom w:val="none" w:sz="0" w:space="0" w:color="auto"/>
        <w:right w:val="none" w:sz="0" w:space="0" w:color="auto"/>
      </w:divBdr>
    </w:div>
    <w:div w:id="771779634">
      <w:bodyDiv w:val="1"/>
      <w:marLeft w:val="0"/>
      <w:marRight w:val="0"/>
      <w:marTop w:val="0"/>
      <w:marBottom w:val="0"/>
      <w:divBdr>
        <w:top w:val="none" w:sz="0" w:space="0" w:color="auto"/>
        <w:left w:val="none" w:sz="0" w:space="0" w:color="auto"/>
        <w:bottom w:val="none" w:sz="0" w:space="0" w:color="auto"/>
        <w:right w:val="none" w:sz="0" w:space="0" w:color="auto"/>
      </w:divBdr>
    </w:div>
    <w:div w:id="805858778">
      <w:bodyDiv w:val="1"/>
      <w:marLeft w:val="0"/>
      <w:marRight w:val="0"/>
      <w:marTop w:val="0"/>
      <w:marBottom w:val="0"/>
      <w:divBdr>
        <w:top w:val="none" w:sz="0" w:space="0" w:color="auto"/>
        <w:left w:val="none" w:sz="0" w:space="0" w:color="auto"/>
        <w:bottom w:val="none" w:sz="0" w:space="0" w:color="auto"/>
        <w:right w:val="none" w:sz="0" w:space="0" w:color="auto"/>
      </w:divBdr>
    </w:div>
    <w:div w:id="907808070">
      <w:bodyDiv w:val="1"/>
      <w:marLeft w:val="0"/>
      <w:marRight w:val="0"/>
      <w:marTop w:val="0"/>
      <w:marBottom w:val="0"/>
      <w:divBdr>
        <w:top w:val="none" w:sz="0" w:space="0" w:color="auto"/>
        <w:left w:val="none" w:sz="0" w:space="0" w:color="auto"/>
        <w:bottom w:val="none" w:sz="0" w:space="0" w:color="auto"/>
        <w:right w:val="none" w:sz="0" w:space="0" w:color="auto"/>
      </w:divBdr>
    </w:div>
    <w:div w:id="981344529">
      <w:bodyDiv w:val="1"/>
      <w:marLeft w:val="0"/>
      <w:marRight w:val="0"/>
      <w:marTop w:val="0"/>
      <w:marBottom w:val="0"/>
      <w:divBdr>
        <w:top w:val="none" w:sz="0" w:space="0" w:color="auto"/>
        <w:left w:val="none" w:sz="0" w:space="0" w:color="auto"/>
        <w:bottom w:val="none" w:sz="0" w:space="0" w:color="auto"/>
        <w:right w:val="none" w:sz="0" w:space="0" w:color="auto"/>
      </w:divBdr>
    </w:div>
    <w:div w:id="1003171166">
      <w:bodyDiv w:val="1"/>
      <w:marLeft w:val="0"/>
      <w:marRight w:val="0"/>
      <w:marTop w:val="0"/>
      <w:marBottom w:val="0"/>
      <w:divBdr>
        <w:top w:val="none" w:sz="0" w:space="0" w:color="auto"/>
        <w:left w:val="none" w:sz="0" w:space="0" w:color="auto"/>
        <w:bottom w:val="none" w:sz="0" w:space="0" w:color="auto"/>
        <w:right w:val="none" w:sz="0" w:space="0" w:color="auto"/>
      </w:divBdr>
    </w:div>
    <w:div w:id="1006371921">
      <w:bodyDiv w:val="1"/>
      <w:marLeft w:val="0"/>
      <w:marRight w:val="0"/>
      <w:marTop w:val="0"/>
      <w:marBottom w:val="0"/>
      <w:divBdr>
        <w:top w:val="none" w:sz="0" w:space="0" w:color="auto"/>
        <w:left w:val="none" w:sz="0" w:space="0" w:color="auto"/>
        <w:bottom w:val="none" w:sz="0" w:space="0" w:color="auto"/>
        <w:right w:val="none" w:sz="0" w:space="0" w:color="auto"/>
      </w:divBdr>
    </w:div>
    <w:div w:id="1049957025">
      <w:bodyDiv w:val="1"/>
      <w:marLeft w:val="0"/>
      <w:marRight w:val="0"/>
      <w:marTop w:val="0"/>
      <w:marBottom w:val="0"/>
      <w:divBdr>
        <w:top w:val="none" w:sz="0" w:space="0" w:color="auto"/>
        <w:left w:val="none" w:sz="0" w:space="0" w:color="auto"/>
        <w:bottom w:val="none" w:sz="0" w:space="0" w:color="auto"/>
        <w:right w:val="none" w:sz="0" w:space="0" w:color="auto"/>
      </w:divBdr>
    </w:div>
    <w:div w:id="1156189636">
      <w:bodyDiv w:val="1"/>
      <w:marLeft w:val="0"/>
      <w:marRight w:val="0"/>
      <w:marTop w:val="0"/>
      <w:marBottom w:val="0"/>
      <w:divBdr>
        <w:top w:val="none" w:sz="0" w:space="0" w:color="auto"/>
        <w:left w:val="none" w:sz="0" w:space="0" w:color="auto"/>
        <w:bottom w:val="none" w:sz="0" w:space="0" w:color="auto"/>
        <w:right w:val="none" w:sz="0" w:space="0" w:color="auto"/>
      </w:divBdr>
    </w:div>
    <w:div w:id="1219852624">
      <w:bodyDiv w:val="1"/>
      <w:marLeft w:val="0"/>
      <w:marRight w:val="0"/>
      <w:marTop w:val="0"/>
      <w:marBottom w:val="0"/>
      <w:divBdr>
        <w:top w:val="none" w:sz="0" w:space="0" w:color="auto"/>
        <w:left w:val="none" w:sz="0" w:space="0" w:color="auto"/>
        <w:bottom w:val="none" w:sz="0" w:space="0" w:color="auto"/>
        <w:right w:val="none" w:sz="0" w:space="0" w:color="auto"/>
      </w:divBdr>
    </w:div>
    <w:div w:id="1232426251">
      <w:bodyDiv w:val="1"/>
      <w:marLeft w:val="0"/>
      <w:marRight w:val="0"/>
      <w:marTop w:val="0"/>
      <w:marBottom w:val="0"/>
      <w:divBdr>
        <w:top w:val="none" w:sz="0" w:space="0" w:color="auto"/>
        <w:left w:val="none" w:sz="0" w:space="0" w:color="auto"/>
        <w:bottom w:val="none" w:sz="0" w:space="0" w:color="auto"/>
        <w:right w:val="none" w:sz="0" w:space="0" w:color="auto"/>
      </w:divBdr>
    </w:div>
    <w:div w:id="1239051018">
      <w:bodyDiv w:val="1"/>
      <w:marLeft w:val="0"/>
      <w:marRight w:val="0"/>
      <w:marTop w:val="0"/>
      <w:marBottom w:val="0"/>
      <w:divBdr>
        <w:top w:val="none" w:sz="0" w:space="0" w:color="auto"/>
        <w:left w:val="none" w:sz="0" w:space="0" w:color="auto"/>
        <w:bottom w:val="none" w:sz="0" w:space="0" w:color="auto"/>
        <w:right w:val="none" w:sz="0" w:space="0" w:color="auto"/>
      </w:divBdr>
    </w:div>
    <w:div w:id="1278101239">
      <w:bodyDiv w:val="1"/>
      <w:marLeft w:val="0"/>
      <w:marRight w:val="0"/>
      <w:marTop w:val="0"/>
      <w:marBottom w:val="0"/>
      <w:divBdr>
        <w:top w:val="none" w:sz="0" w:space="0" w:color="auto"/>
        <w:left w:val="none" w:sz="0" w:space="0" w:color="auto"/>
        <w:bottom w:val="none" w:sz="0" w:space="0" w:color="auto"/>
        <w:right w:val="none" w:sz="0" w:space="0" w:color="auto"/>
      </w:divBdr>
    </w:div>
    <w:div w:id="1284507689">
      <w:bodyDiv w:val="1"/>
      <w:marLeft w:val="0"/>
      <w:marRight w:val="0"/>
      <w:marTop w:val="0"/>
      <w:marBottom w:val="0"/>
      <w:divBdr>
        <w:top w:val="none" w:sz="0" w:space="0" w:color="auto"/>
        <w:left w:val="none" w:sz="0" w:space="0" w:color="auto"/>
        <w:bottom w:val="none" w:sz="0" w:space="0" w:color="auto"/>
        <w:right w:val="none" w:sz="0" w:space="0" w:color="auto"/>
      </w:divBdr>
    </w:div>
    <w:div w:id="1304654282">
      <w:bodyDiv w:val="1"/>
      <w:marLeft w:val="0"/>
      <w:marRight w:val="0"/>
      <w:marTop w:val="0"/>
      <w:marBottom w:val="0"/>
      <w:divBdr>
        <w:top w:val="none" w:sz="0" w:space="0" w:color="auto"/>
        <w:left w:val="none" w:sz="0" w:space="0" w:color="auto"/>
        <w:bottom w:val="none" w:sz="0" w:space="0" w:color="auto"/>
        <w:right w:val="none" w:sz="0" w:space="0" w:color="auto"/>
      </w:divBdr>
    </w:div>
    <w:div w:id="1316569807">
      <w:bodyDiv w:val="1"/>
      <w:marLeft w:val="0"/>
      <w:marRight w:val="0"/>
      <w:marTop w:val="0"/>
      <w:marBottom w:val="0"/>
      <w:divBdr>
        <w:top w:val="none" w:sz="0" w:space="0" w:color="auto"/>
        <w:left w:val="none" w:sz="0" w:space="0" w:color="auto"/>
        <w:bottom w:val="none" w:sz="0" w:space="0" w:color="auto"/>
        <w:right w:val="none" w:sz="0" w:space="0" w:color="auto"/>
      </w:divBdr>
    </w:div>
    <w:div w:id="1353146441">
      <w:bodyDiv w:val="1"/>
      <w:marLeft w:val="0"/>
      <w:marRight w:val="0"/>
      <w:marTop w:val="0"/>
      <w:marBottom w:val="0"/>
      <w:divBdr>
        <w:top w:val="none" w:sz="0" w:space="0" w:color="auto"/>
        <w:left w:val="none" w:sz="0" w:space="0" w:color="auto"/>
        <w:bottom w:val="none" w:sz="0" w:space="0" w:color="auto"/>
        <w:right w:val="none" w:sz="0" w:space="0" w:color="auto"/>
      </w:divBdr>
    </w:div>
    <w:div w:id="1420982572">
      <w:bodyDiv w:val="1"/>
      <w:marLeft w:val="0"/>
      <w:marRight w:val="0"/>
      <w:marTop w:val="0"/>
      <w:marBottom w:val="0"/>
      <w:divBdr>
        <w:top w:val="none" w:sz="0" w:space="0" w:color="auto"/>
        <w:left w:val="none" w:sz="0" w:space="0" w:color="auto"/>
        <w:bottom w:val="none" w:sz="0" w:space="0" w:color="auto"/>
        <w:right w:val="none" w:sz="0" w:space="0" w:color="auto"/>
      </w:divBdr>
    </w:div>
    <w:div w:id="1537813544">
      <w:bodyDiv w:val="1"/>
      <w:marLeft w:val="0"/>
      <w:marRight w:val="0"/>
      <w:marTop w:val="0"/>
      <w:marBottom w:val="0"/>
      <w:divBdr>
        <w:top w:val="none" w:sz="0" w:space="0" w:color="auto"/>
        <w:left w:val="none" w:sz="0" w:space="0" w:color="auto"/>
        <w:bottom w:val="none" w:sz="0" w:space="0" w:color="auto"/>
        <w:right w:val="none" w:sz="0" w:space="0" w:color="auto"/>
      </w:divBdr>
    </w:div>
    <w:div w:id="1598446717">
      <w:bodyDiv w:val="1"/>
      <w:marLeft w:val="0"/>
      <w:marRight w:val="0"/>
      <w:marTop w:val="0"/>
      <w:marBottom w:val="0"/>
      <w:divBdr>
        <w:top w:val="none" w:sz="0" w:space="0" w:color="auto"/>
        <w:left w:val="none" w:sz="0" w:space="0" w:color="auto"/>
        <w:bottom w:val="none" w:sz="0" w:space="0" w:color="auto"/>
        <w:right w:val="none" w:sz="0" w:space="0" w:color="auto"/>
      </w:divBdr>
    </w:div>
    <w:div w:id="1630432631">
      <w:bodyDiv w:val="1"/>
      <w:marLeft w:val="0"/>
      <w:marRight w:val="0"/>
      <w:marTop w:val="0"/>
      <w:marBottom w:val="0"/>
      <w:divBdr>
        <w:top w:val="none" w:sz="0" w:space="0" w:color="auto"/>
        <w:left w:val="none" w:sz="0" w:space="0" w:color="auto"/>
        <w:bottom w:val="none" w:sz="0" w:space="0" w:color="auto"/>
        <w:right w:val="none" w:sz="0" w:space="0" w:color="auto"/>
      </w:divBdr>
    </w:div>
    <w:div w:id="1715808814">
      <w:bodyDiv w:val="1"/>
      <w:marLeft w:val="0"/>
      <w:marRight w:val="0"/>
      <w:marTop w:val="0"/>
      <w:marBottom w:val="0"/>
      <w:divBdr>
        <w:top w:val="none" w:sz="0" w:space="0" w:color="auto"/>
        <w:left w:val="none" w:sz="0" w:space="0" w:color="auto"/>
        <w:bottom w:val="none" w:sz="0" w:space="0" w:color="auto"/>
        <w:right w:val="none" w:sz="0" w:space="0" w:color="auto"/>
      </w:divBdr>
    </w:div>
    <w:div w:id="1718167934">
      <w:bodyDiv w:val="1"/>
      <w:marLeft w:val="0"/>
      <w:marRight w:val="0"/>
      <w:marTop w:val="0"/>
      <w:marBottom w:val="0"/>
      <w:divBdr>
        <w:top w:val="none" w:sz="0" w:space="0" w:color="auto"/>
        <w:left w:val="none" w:sz="0" w:space="0" w:color="auto"/>
        <w:bottom w:val="none" w:sz="0" w:space="0" w:color="auto"/>
        <w:right w:val="none" w:sz="0" w:space="0" w:color="auto"/>
      </w:divBdr>
    </w:div>
    <w:div w:id="1756125113">
      <w:bodyDiv w:val="1"/>
      <w:marLeft w:val="0"/>
      <w:marRight w:val="0"/>
      <w:marTop w:val="0"/>
      <w:marBottom w:val="0"/>
      <w:divBdr>
        <w:top w:val="none" w:sz="0" w:space="0" w:color="auto"/>
        <w:left w:val="none" w:sz="0" w:space="0" w:color="auto"/>
        <w:bottom w:val="none" w:sz="0" w:space="0" w:color="auto"/>
        <w:right w:val="none" w:sz="0" w:space="0" w:color="auto"/>
      </w:divBdr>
      <w:divsChild>
        <w:div w:id="1331173317">
          <w:marLeft w:val="0"/>
          <w:marRight w:val="0"/>
          <w:marTop w:val="225"/>
          <w:marBottom w:val="450"/>
          <w:divBdr>
            <w:top w:val="none" w:sz="0" w:space="0" w:color="auto"/>
            <w:left w:val="none" w:sz="0" w:space="0" w:color="auto"/>
            <w:bottom w:val="none" w:sz="0" w:space="0" w:color="auto"/>
            <w:right w:val="none" w:sz="0" w:space="0" w:color="auto"/>
          </w:divBdr>
          <w:divsChild>
            <w:div w:id="465506934">
              <w:marLeft w:val="0"/>
              <w:marRight w:val="0"/>
              <w:marTop w:val="0"/>
              <w:marBottom w:val="0"/>
              <w:divBdr>
                <w:top w:val="none" w:sz="0" w:space="0" w:color="auto"/>
                <w:left w:val="none" w:sz="0" w:space="0" w:color="auto"/>
                <w:bottom w:val="none" w:sz="0" w:space="0" w:color="auto"/>
                <w:right w:val="none" w:sz="0" w:space="0" w:color="auto"/>
              </w:divBdr>
            </w:div>
            <w:div w:id="945889368">
              <w:marLeft w:val="0"/>
              <w:marRight w:val="0"/>
              <w:marTop w:val="0"/>
              <w:marBottom w:val="0"/>
              <w:divBdr>
                <w:top w:val="none" w:sz="0" w:space="0" w:color="auto"/>
                <w:left w:val="none" w:sz="0" w:space="0" w:color="auto"/>
                <w:bottom w:val="none" w:sz="0" w:space="0" w:color="auto"/>
                <w:right w:val="none" w:sz="0" w:space="0" w:color="auto"/>
              </w:divBdr>
              <w:divsChild>
                <w:div w:id="105631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47496">
      <w:bodyDiv w:val="1"/>
      <w:marLeft w:val="0"/>
      <w:marRight w:val="0"/>
      <w:marTop w:val="0"/>
      <w:marBottom w:val="0"/>
      <w:divBdr>
        <w:top w:val="none" w:sz="0" w:space="0" w:color="auto"/>
        <w:left w:val="none" w:sz="0" w:space="0" w:color="auto"/>
        <w:bottom w:val="none" w:sz="0" w:space="0" w:color="auto"/>
        <w:right w:val="none" w:sz="0" w:space="0" w:color="auto"/>
      </w:divBdr>
    </w:div>
    <w:div w:id="2050259433">
      <w:bodyDiv w:val="1"/>
      <w:marLeft w:val="0"/>
      <w:marRight w:val="0"/>
      <w:marTop w:val="0"/>
      <w:marBottom w:val="0"/>
      <w:divBdr>
        <w:top w:val="none" w:sz="0" w:space="0" w:color="auto"/>
        <w:left w:val="none" w:sz="0" w:space="0" w:color="auto"/>
        <w:bottom w:val="none" w:sz="0" w:space="0" w:color="auto"/>
        <w:right w:val="none" w:sz="0" w:space="0" w:color="auto"/>
      </w:divBdr>
    </w:div>
    <w:div w:id="2076782048">
      <w:bodyDiv w:val="1"/>
      <w:marLeft w:val="0"/>
      <w:marRight w:val="0"/>
      <w:marTop w:val="0"/>
      <w:marBottom w:val="0"/>
      <w:divBdr>
        <w:top w:val="none" w:sz="0" w:space="0" w:color="auto"/>
        <w:left w:val="none" w:sz="0" w:space="0" w:color="auto"/>
        <w:bottom w:val="none" w:sz="0" w:space="0" w:color="auto"/>
        <w:right w:val="none" w:sz="0" w:space="0" w:color="auto"/>
      </w:divBdr>
    </w:div>
    <w:div w:id="214435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lloy@sgul.ac.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tif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f"/><Relationship Id="rId5" Type="http://schemas.openxmlformats.org/officeDocument/2006/relationships/webSettings" Target="webSettings.xml"/><Relationship Id="rId15" Type="http://schemas.openxmlformats.org/officeDocument/2006/relationships/hyperlink" Target="https://unitaid.org/advanced-hiv-disease/"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FD8F0-2183-4FB9-AA54-0FC2E3EA3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3134</Words>
  <Characters>17869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Tao Chen</dc:creator>
  <cp:lastModifiedBy>Sile Molloy</cp:lastModifiedBy>
  <cp:revision>3</cp:revision>
  <cp:lastPrinted>2019-02-05T17:51:00Z</cp:lastPrinted>
  <dcterms:created xsi:type="dcterms:W3CDTF">2019-05-06T11:48:00Z</dcterms:created>
  <dcterms:modified xsi:type="dcterms:W3CDTF">2019-05-07T18:58:00Z</dcterms:modified>
</cp:coreProperties>
</file>