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742D0" w14:textId="77777777" w:rsidR="005741E8" w:rsidRDefault="00964897" w:rsidP="005741E8">
      <w:pPr>
        <w:rPr>
          <w:u w:val="single"/>
        </w:rPr>
      </w:pPr>
      <w:r>
        <w:rPr>
          <w:u w:val="single"/>
        </w:rPr>
        <w:t>S</w:t>
      </w:r>
      <w:r w:rsidR="007E7422">
        <w:rPr>
          <w:u w:val="single"/>
        </w:rPr>
        <w:t xml:space="preserve">udden </w:t>
      </w:r>
      <w:r>
        <w:rPr>
          <w:u w:val="single"/>
        </w:rPr>
        <w:t>C</w:t>
      </w:r>
      <w:r w:rsidR="007E7422">
        <w:rPr>
          <w:u w:val="single"/>
        </w:rPr>
        <w:t xml:space="preserve">ardiac </w:t>
      </w:r>
      <w:r>
        <w:rPr>
          <w:u w:val="single"/>
        </w:rPr>
        <w:t>D</w:t>
      </w:r>
      <w:r w:rsidR="007E7422">
        <w:rPr>
          <w:u w:val="single"/>
        </w:rPr>
        <w:t>eath</w:t>
      </w:r>
      <w:r w:rsidR="004576F8">
        <w:rPr>
          <w:u w:val="single"/>
        </w:rPr>
        <w:t xml:space="preserve"> in Hypertensive Heart Disease…</w:t>
      </w:r>
      <w:r w:rsidR="006C686B">
        <w:rPr>
          <w:u w:val="single"/>
        </w:rPr>
        <w:t>With a Heavy Heart.</w:t>
      </w:r>
    </w:p>
    <w:p w14:paraId="6DDB12BB" w14:textId="77777777" w:rsidR="005741E8" w:rsidRDefault="005741E8" w:rsidP="005741E8">
      <w:pPr>
        <w:rPr>
          <w:u w:val="single"/>
        </w:rPr>
      </w:pPr>
    </w:p>
    <w:p w14:paraId="086A82BA" w14:textId="77777777" w:rsidR="005741E8" w:rsidRPr="005826B8" w:rsidRDefault="005741E8" w:rsidP="005741E8">
      <w:r w:rsidRPr="005826B8">
        <w:t xml:space="preserve">Introduction: </w:t>
      </w:r>
      <w:r w:rsidR="00086E9E" w:rsidRPr="005826B8">
        <w:t>The prevalence of mortality due to hypertensive heart disease</w:t>
      </w:r>
      <w:r w:rsidR="0082036C" w:rsidRPr="005826B8">
        <w:t xml:space="preserve"> (HHD)</w:t>
      </w:r>
      <w:r w:rsidR="00086E9E" w:rsidRPr="005826B8">
        <w:t xml:space="preserve"> is 1.2% in the UK</w:t>
      </w:r>
      <w:r w:rsidRPr="005826B8">
        <w:t xml:space="preserve">. </w:t>
      </w:r>
      <w:r w:rsidR="00E15515" w:rsidRPr="005826B8">
        <w:t xml:space="preserve">HHD is a well-established cause of sudden cardiac death (SCD). </w:t>
      </w:r>
      <w:r w:rsidRPr="005826B8">
        <w:t>This study reports the characteristics of</w:t>
      </w:r>
      <w:r w:rsidR="005E4519" w:rsidRPr="005826B8">
        <w:t xml:space="preserve"> a cohort of SCD in </w:t>
      </w:r>
      <w:r w:rsidR="0082036C" w:rsidRPr="005826B8">
        <w:t>HHD</w:t>
      </w:r>
      <w:r w:rsidR="005E4519" w:rsidRPr="005826B8">
        <w:t xml:space="preserve"> </w:t>
      </w:r>
      <w:r w:rsidRPr="005826B8">
        <w:t>from a tertiary referral centre for cardiac pathology.</w:t>
      </w:r>
    </w:p>
    <w:p w14:paraId="7925D788" w14:textId="1C74CEF4" w:rsidR="005741E8" w:rsidRPr="005826B8" w:rsidRDefault="005741E8" w:rsidP="005741E8">
      <w:r w:rsidRPr="005826B8">
        <w:t xml:space="preserve">Method: We performed a retrospective cross sectional study, identifying cases from a </w:t>
      </w:r>
      <w:r w:rsidR="00D41F32">
        <w:t xml:space="preserve">national </w:t>
      </w:r>
      <w:r w:rsidRPr="005826B8">
        <w:t xml:space="preserve">database </w:t>
      </w:r>
      <w:r w:rsidR="00D41F32">
        <w:t>recorded between</w:t>
      </w:r>
      <w:r w:rsidRPr="005826B8">
        <w:t xml:space="preserve"> 1994 </w:t>
      </w:r>
      <w:r w:rsidR="00D41F32">
        <w:t>and</w:t>
      </w:r>
      <w:r w:rsidR="00D41F32" w:rsidRPr="005826B8">
        <w:t xml:space="preserve"> </w:t>
      </w:r>
      <w:r w:rsidRPr="005826B8">
        <w:t>2016. Cases were</w:t>
      </w:r>
      <w:r w:rsidR="004743EF" w:rsidRPr="005826B8">
        <w:t xml:space="preserve"> selected based on the diagnosi</w:t>
      </w:r>
      <w:r w:rsidR="0082036C" w:rsidRPr="005826B8">
        <w:t>s of HHD</w:t>
      </w:r>
      <w:r w:rsidR="00B26F1A" w:rsidRPr="005826B8">
        <w:t xml:space="preserve"> </w:t>
      </w:r>
      <w:r w:rsidR="004743EF" w:rsidRPr="005826B8">
        <w:t xml:space="preserve">after expert cardiac </w:t>
      </w:r>
      <w:r w:rsidR="00B52738">
        <w:t>review</w:t>
      </w:r>
      <w:r w:rsidR="004743EF" w:rsidRPr="005826B8">
        <w:t>.</w:t>
      </w:r>
      <w:r w:rsidR="00B26F1A" w:rsidRPr="005826B8">
        <w:t xml:space="preserve"> </w:t>
      </w:r>
      <w:r w:rsidR="0073151C">
        <w:t xml:space="preserve">Hypertension had to be diagnosed pre-mortem. </w:t>
      </w:r>
      <w:r w:rsidR="00BC78CF">
        <w:t xml:space="preserve">Diagnostic criteria included increased heart weight, </w:t>
      </w:r>
      <w:r w:rsidR="0073151C">
        <w:t>left ventricular thickness of greater than 15mm</w:t>
      </w:r>
      <w:r w:rsidR="00BC5E87">
        <w:t>,</w:t>
      </w:r>
      <w:r w:rsidR="0073151C">
        <w:t xml:space="preserve"> myocyte hypertrophy and fine interstitial fibrosis. </w:t>
      </w:r>
      <w:r w:rsidR="00B26F1A" w:rsidRPr="005826B8">
        <w:t>Cases with significant coronary artery disease were excluded.</w:t>
      </w:r>
    </w:p>
    <w:p w14:paraId="3BCA84ED" w14:textId="459257E1" w:rsidR="005741E8" w:rsidRPr="005826B8" w:rsidRDefault="00CF0DC5" w:rsidP="005741E8">
      <w:pPr>
        <w:rPr>
          <w:rFonts w:eastAsia="Times New Roman" w:cs="Times New Roman"/>
          <w:lang w:eastAsia="en-GB"/>
        </w:rPr>
      </w:pPr>
      <w:r w:rsidRPr="005826B8">
        <w:t>Results: 63</w:t>
      </w:r>
      <w:r w:rsidR="005741E8" w:rsidRPr="005826B8">
        <w:t xml:space="preserve"> c</w:t>
      </w:r>
      <w:r w:rsidRPr="005826B8">
        <w:t>ases of sudden death in hypertensive heart disease</w:t>
      </w:r>
      <w:r w:rsidR="005741E8" w:rsidRPr="005826B8">
        <w:t xml:space="preserve"> were identified.</w:t>
      </w:r>
      <w:r w:rsidRPr="005826B8">
        <w:t xml:space="preserve"> The average age was </w:t>
      </w:r>
      <w:r w:rsidR="005C2E1F" w:rsidRPr="005826B8">
        <w:t xml:space="preserve">53±15years; </w:t>
      </w:r>
      <w:r w:rsidR="005F6F15" w:rsidRPr="005826B8">
        <w:t>32 were male and 31 were female. F</w:t>
      </w:r>
      <w:r w:rsidR="00EE6C98" w:rsidRPr="005826B8">
        <w:t>emales tended to be older than males</w:t>
      </w:r>
      <w:r w:rsidR="005F6F15" w:rsidRPr="005826B8">
        <w:t>. A</w:t>
      </w:r>
      <w:r w:rsidR="005C2E1F" w:rsidRPr="005826B8">
        <w:t>verage BMI was 33±</w:t>
      </w:r>
      <w:r w:rsidR="00170A07" w:rsidRPr="005826B8">
        <w:t>9</w:t>
      </w:r>
      <w:r w:rsidR="008B1070" w:rsidRPr="005826B8">
        <w:t xml:space="preserve"> and 60% were obese.  A</w:t>
      </w:r>
      <w:r w:rsidR="005C2E1F" w:rsidRPr="005826B8">
        <w:t>verage weight of heart was 580±165</w:t>
      </w:r>
      <w:r w:rsidR="0028735B">
        <w:t xml:space="preserve"> (males </w:t>
      </w:r>
      <w:r w:rsidR="00776332">
        <w:t>577</w:t>
      </w:r>
      <w:r w:rsidR="00776332">
        <w:sym w:font="Symbol" w:char="F0B1"/>
      </w:r>
      <w:r w:rsidR="00776332">
        <w:t xml:space="preserve">161, </w:t>
      </w:r>
      <w:r w:rsidR="0028735B">
        <w:t>females 556</w:t>
      </w:r>
      <w:r w:rsidR="0028735B">
        <w:sym w:font="Symbol" w:char="F0B1"/>
      </w:r>
      <w:r w:rsidR="0028735B">
        <w:t>169)</w:t>
      </w:r>
      <w:r w:rsidR="00FB57A3" w:rsidRPr="005826B8">
        <w:t>.</w:t>
      </w:r>
      <w:r w:rsidR="00FB57A3">
        <w:t xml:space="preserve"> </w:t>
      </w:r>
      <w:r w:rsidR="008B1070" w:rsidRPr="005826B8">
        <w:t xml:space="preserve">Female hearts showed a greater increase </w:t>
      </w:r>
      <w:r w:rsidR="00FE7CE8">
        <w:t>above normal weight</w:t>
      </w:r>
      <w:r w:rsidR="008B1070" w:rsidRPr="005826B8">
        <w:t xml:space="preserve"> than male hearts (p=0.027). </w:t>
      </w:r>
      <w:r w:rsidR="005F6F15" w:rsidRPr="005826B8">
        <w:t xml:space="preserve">Mean maximal left ventricular thickness was 15.9mm (range 11-20). </w:t>
      </w:r>
      <w:r w:rsidR="00874DB0" w:rsidRPr="005826B8">
        <w:t xml:space="preserve">All hearts showed concentric hypertrophy. </w:t>
      </w:r>
      <w:r w:rsidR="008B1070" w:rsidRPr="005826B8">
        <w:t xml:space="preserve">Left ventricular fibrosis was present in 46 cases (73%). </w:t>
      </w:r>
      <w:r w:rsidR="00625B7A" w:rsidRPr="005826B8">
        <w:t xml:space="preserve">The presence of fibrosis </w:t>
      </w:r>
      <w:r w:rsidR="00D2661E">
        <w:t>was not associated with</w:t>
      </w:r>
      <w:r w:rsidR="00625B7A" w:rsidRPr="005826B8">
        <w:t xml:space="preserve"> sex</w:t>
      </w:r>
      <w:r w:rsidR="00384497">
        <w:t xml:space="preserve"> (p=0.55)</w:t>
      </w:r>
      <w:r w:rsidR="00625B7A" w:rsidRPr="005826B8">
        <w:t>, BMI</w:t>
      </w:r>
      <w:r w:rsidR="00B53C77">
        <w:t xml:space="preserve"> (p=0.09)</w:t>
      </w:r>
      <w:r w:rsidR="00625B7A" w:rsidRPr="005826B8">
        <w:t xml:space="preserve"> or</w:t>
      </w:r>
      <w:r w:rsidR="00EE6C98" w:rsidRPr="005826B8">
        <w:t xml:space="preserve"> heart weight</w:t>
      </w:r>
      <w:r w:rsidR="00FB330D">
        <w:t xml:space="preserve"> (p=0.20)</w:t>
      </w:r>
      <w:r w:rsidR="00EE6C98" w:rsidRPr="005826B8">
        <w:t>.</w:t>
      </w:r>
    </w:p>
    <w:p w14:paraId="635A5023" w14:textId="775D7F37" w:rsidR="005C4CE3" w:rsidRDefault="005741E8">
      <w:pPr>
        <w:rPr>
          <w:rFonts w:eastAsia="Times New Roman" w:cs="Times New Roman"/>
          <w:lang w:eastAsia="en-GB"/>
        </w:rPr>
      </w:pPr>
      <w:r w:rsidRPr="005826B8">
        <w:t>Discussion:</w:t>
      </w:r>
      <w:r w:rsidR="00237E39" w:rsidRPr="005826B8">
        <w:t xml:space="preserve"> SCD in HHD </w:t>
      </w:r>
      <w:r w:rsidR="0096037A">
        <w:t xml:space="preserve">occurs with </w:t>
      </w:r>
      <w:r w:rsidR="00237E39" w:rsidRPr="005826B8">
        <w:t>similar</w:t>
      </w:r>
      <w:r w:rsidR="0096037A">
        <w:t xml:space="preserve"> frequency in</w:t>
      </w:r>
      <w:r w:rsidR="00237E39" w:rsidRPr="005826B8">
        <w:t xml:space="preserve"> both sexes. </w:t>
      </w:r>
      <w:r w:rsidR="0082036C" w:rsidRPr="005826B8">
        <w:t xml:space="preserve">Females </w:t>
      </w:r>
      <w:r w:rsidR="00A90547" w:rsidRPr="005826B8">
        <w:t xml:space="preserve">show a greater increase in heart weight and </w:t>
      </w:r>
      <w:r w:rsidR="0082036C" w:rsidRPr="005826B8">
        <w:t>may</w:t>
      </w:r>
      <w:r w:rsidR="00237E39" w:rsidRPr="005826B8">
        <w:t xml:space="preserve"> be protected</w:t>
      </w:r>
      <w:r w:rsidR="00A90547" w:rsidRPr="005826B8">
        <w:t xml:space="preserve"> by oestrogen pre-menopause.</w:t>
      </w:r>
      <w:r w:rsidR="000419EE" w:rsidRPr="005826B8">
        <w:rPr>
          <w:rFonts w:eastAsia="Times New Roman" w:cs="Times New Roman"/>
          <w:lang w:eastAsia="en-GB"/>
        </w:rPr>
        <w:t xml:space="preserve"> Hypertension and obesity may act synergistically to increase the risk of SCD. </w:t>
      </w:r>
      <w:r w:rsidR="00177BD7">
        <w:rPr>
          <w:rFonts w:eastAsia="Times New Roman" w:cs="Times New Roman"/>
          <w:lang w:eastAsia="en-GB"/>
        </w:rPr>
        <w:t>F</w:t>
      </w:r>
      <w:r w:rsidR="00625B7A" w:rsidRPr="005826B8">
        <w:rPr>
          <w:rFonts w:eastAsia="Times New Roman" w:cs="Times New Roman"/>
          <w:lang w:eastAsia="en-GB"/>
        </w:rPr>
        <w:t xml:space="preserve">ibrosis </w:t>
      </w:r>
      <w:r w:rsidR="00177BD7">
        <w:rPr>
          <w:rFonts w:eastAsia="Times New Roman" w:cs="Times New Roman"/>
          <w:lang w:eastAsia="en-GB"/>
        </w:rPr>
        <w:t xml:space="preserve">was present in </w:t>
      </w:r>
      <w:bookmarkStart w:id="0" w:name="_GoBack"/>
      <w:bookmarkEnd w:id="0"/>
      <w:r w:rsidR="00BC5E87">
        <w:rPr>
          <w:rFonts w:eastAsia="Times New Roman" w:cs="Times New Roman"/>
          <w:lang w:eastAsia="en-GB"/>
        </w:rPr>
        <w:t>most</w:t>
      </w:r>
      <w:r w:rsidR="00177BD7">
        <w:rPr>
          <w:rFonts w:eastAsia="Times New Roman" w:cs="Times New Roman"/>
          <w:lang w:eastAsia="en-GB"/>
        </w:rPr>
        <w:t xml:space="preserve"> cases and </w:t>
      </w:r>
      <w:r w:rsidR="00625B7A" w:rsidRPr="005826B8">
        <w:rPr>
          <w:rFonts w:eastAsia="Times New Roman" w:cs="Times New Roman"/>
          <w:lang w:eastAsia="en-GB"/>
        </w:rPr>
        <w:t xml:space="preserve">appears to </w:t>
      </w:r>
      <w:r w:rsidR="00177BD7">
        <w:rPr>
          <w:rFonts w:eastAsia="Times New Roman" w:cs="Times New Roman"/>
          <w:lang w:eastAsia="en-GB"/>
        </w:rPr>
        <w:t>occur</w:t>
      </w:r>
      <w:r w:rsidR="00625B7A" w:rsidRPr="005826B8">
        <w:rPr>
          <w:rFonts w:eastAsia="Times New Roman" w:cs="Times New Roman"/>
          <w:lang w:eastAsia="en-GB"/>
        </w:rPr>
        <w:t xml:space="preserve"> independent</w:t>
      </w:r>
      <w:r w:rsidR="00177BD7">
        <w:rPr>
          <w:rFonts w:eastAsia="Times New Roman" w:cs="Times New Roman"/>
          <w:lang w:eastAsia="en-GB"/>
        </w:rPr>
        <w:t>ly</w:t>
      </w:r>
      <w:r w:rsidR="00625B7A" w:rsidRPr="005826B8">
        <w:rPr>
          <w:rFonts w:eastAsia="Times New Roman" w:cs="Times New Roman"/>
          <w:lang w:eastAsia="en-GB"/>
        </w:rPr>
        <w:t xml:space="preserve"> of sex, BMI and heart weight.</w:t>
      </w:r>
      <w:r w:rsidR="00652F12" w:rsidRPr="005826B8">
        <w:rPr>
          <w:rFonts w:eastAsia="Times New Roman" w:cs="Times New Roman"/>
          <w:lang w:eastAsia="en-GB"/>
        </w:rPr>
        <w:t xml:space="preserve"> SCD appears to occur in those with concentric hypertrophy rather than eccentric hypertrophy.</w:t>
      </w:r>
      <w:r w:rsidR="00D36EE8" w:rsidRPr="005826B8">
        <w:rPr>
          <w:rFonts w:eastAsia="Times New Roman" w:cs="Times New Roman"/>
          <w:lang w:eastAsia="en-GB"/>
        </w:rPr>
        <w:t xml:space="preserve"> These findings highlight the importance of early identification and treatment of </w:t>
      </w:r>
      <w:r w:rsidR="00964897" w:rsidRPr="005826B8">
        <w:rPr>
          <w:rFonts w:eastAsia="Times New Roman" w:cs="Times New Roman"/>
          <w:lang w:eastAsia="en-GB"/>
        </w:rPr>
        <w:t>hypertension to prevent progression to HHD.</w:t>
      </w:r>
    </w:p>
    <w:p w14:paraId="1AC138F7" w14:textId="77777777" w:rsidR="00CC08CC" w:rsidRDefault="00CC08CC">
      <w:pPr>
        <w:rPr>
          <w:rFonts w:eastAsia="Times New Roman" w:cs="Times New Roman"/>
          <w:lang w:eastAsia="en-GB"/>
        </w:rPr>
      </w:pPr>
    </w:p>
    <w:p w14:paraId="01B324F1" w14:textId="77777777" w:rsidR="00CC08CC" w:rsidRPr="005826B8" w:rsidRDefault="00360640">
      <w:pPr>
        <w:rPr>
          <w:rFonts w:eastAsia="Times New Roman" w:cs="Times New Roman"/>
          <w:lang w:eastAsia="en-GB"/>
        </w:rPr>
      </w:pPr>
      <w:r w:rsidRPr="006F0919">
        <w:rPr>
          <w:rFonts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509CD06C" wp14:editId="2AF492C9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5543550" cy="3171825"/>
            <wp:effectExtent l="0" t="0" r="0" b="3175"/>
            <wp:wrapTight wrapText="bothSides">
              <wp:wrapPolygon edited="0">
                <wp:start x="0" y="0"/>
                <wp:lineTo x="0" y="21449"/>
                <wp:lineTo x="21476" y="21449"/>
                <wp:lineTo x="21476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08CC" w:rsidRPr="005826B8" w:rsidSect="00687B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E8"/>
    <w:rsid w:val="000419EE"/>
    <w:rsid w:val="00067F80"/>
    <w:rsid w:val="00086E9E"/>
    <w:rsid w:val="000E6D34"/>
    <w:rsid w:val="00170A07"/>
    <w:rsid w:val="00177BD7"/>
    <w:rsid w:val="001A7AB4"/>
    <w:rsid w:val="00237E39"/>
    <w:rsid w:val="00255B3C"/>
    <w:rsid w:val="0028735B"/>
    <w:rsid w:val="002A256F"/>
    <w:rsid w:val="003205F4"/>
    <w:rsid w:val="00360640"/>
    <w:rsid w:val="00384497"/>
    <w:rsid w:val="003E0645"/>
    <w:rsid w:val="004058A2"/>
    <w:rsid w:val="004068F2"/>
    <w:rsid w:val="004541A0"/>
    <w:rsid w:val="004576F8"/>
    <w:rsid w:val="004743EF"/>
    <w:rsid w:val="00481989"/>
    <w:rsid w:val="004C056E"/>
    <w:rsid w:val="004C10B0"/>
    <w:rsid w:val="004E6A4F"/>
    <w:rsid w:val="00536017"/>
    <w:rsid w:val="00541E2E"/>
    <w:rsid w:val="00562731"/>
    <w:rsid w:val="005741E8"/>
    <w:rsid w:val="005826B8"/>
    <w:rsid w:val="0059236B"/>
    <w:rsid w:val="005A5D7A"/>
    <w:rsid w:val="005C2E1F"/>
    <w:rsid w:val="005E4519"/>
    <w:rsid w:val="005F6F15"/>
    <w:rsid w:val="00625B7A"/>
    <w:rsid w:val="00652F12"/>
    <w:rsid w:val="00687BB6"/>
    <w:rsid w:val="006C686B"/>
    <w:rsid w:val="006C7AD8"/>
    <w:rsid w:val="00712ECE"/>
    <w:rsid w:val="0073151C"/>
    <w:rsid w:val="007330DE"/>
    <w:rsid w:val="007565E9"/>
    <w:rsid w:val="0077400D"/>
    <w:rsid w:val="00776332"/>
    <w:rsid w:val="007E7422"/>
    <w:rsid w:val="0082036C"/>
    <w:rsid w:val="008477F3"/>
    <w:rsid w:val="00874DB0"/>
    <w:rsid w:val="008B1070"/>
    <w:rsid w:val="00952DD6"/>
    <w:rsid w:val="0096037A"/>
    <w:rsid w:val="00964897"/>
    <w:rsid w:val="009D7DF0"/>
    <w:rsid w:val="00A15376"/>
    <w:rsid w:val="00A41B6F"/>
    <w:rsid w:val="00A90547"/>
    <w:rsid w:val="00AB3963"/>
    <w:rsid w:val="00AC4909"/>
    <w:rsid w:val="00AD7D07"/>
    <w:rsid w:val="00B26F1A"/>
    <w:rsid w:val="00B333C9"/>
    <w:rsid w:val="00B4728F"/>
    <w:rsid w:val="00B52738"/>
    <w:rsid w:val="00B53C77"/>
    <w:rsid w:val="00BC5E87"/>
    <w:rsid w:val="00BC78CF"/>
    <w:rsid w:val="00CB3D4C"/>
    <w:rsid w:val="00CC08CC"/>
    <w:rsid w:val="00CF0DC5"/>
    <w:rsid w:val="00D2661E"/>
    <w:rsid w:val="00D36EE8"/>
    <w:rsid w:val="00D41F32"/>
    <w:rsid w:val="00D841AD"/>
    <w:rsid w:val="00E15515"/>
    <w:rsid w:val="00E16438"/>
    <w:rsid w:val="00E97FD7"/>
    <w:rsid w:val="00EC6F3F"/>
    <w:rsid w:val="00EE095E"/>
    <w:rsid w:val="00EE6C98"/>
    <w:rsid w:val="00FB330D"/>
    <w:rsid w:val="00FB57A3"/>
    <w:rsid w:val="00FE1985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D30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7A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A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A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A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/C:\Users\Aaruran\Documents\Biomed\Year%203\Research%20Project\Hypertensive%20heart%20disease%20Final%20Table%20-%20Results%20Sec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solidFill>
                  <a:sysClr val="windowText" lastClr="000000"/>
                </a:solidFill>
              </a:rPr>
              <a:t>Age</a:t>
            </a:r>
            <a:r>
              <a:rPr lang="en-GB" sz="1200" baseline="0">
                <a:solidFill>
                  <a:sysClr val="windowText" lastClr="000000"/>
                </a:solidFill>
              </a:rPr>
              <a:t> distribution for SCD in HHD</a:t>
            </a:r>
            <a:endParaRPr lang="en-GB" sz="1200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GB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Age!$F$7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multiLvlStrRef>
              <c:f>Age!$G$5:$M$6</c:f>
              <c:multiLvlStrCache>
                <c:ptCount val="7"/>
                <c:lvl>
                  <c:pt idx="0">
                    <c:v>15 - 24</c:v>
                  </c:pt>
                  <c:pt idx="1">
                    <c:v>25 - 34</c:v>
                  </c:pt>
                  <c:pt idx="2">
                    <c:v>35 - 44</c:v>
                  </c:pt>
                  <c:pt idx="3">
                    <c:v>45 - 54</c:v>
                  </c:pt>
                  <c:pt idx="4">
                    <c:v>55 - 64</c:v>
                  </c:pt>
                  <c:pt idx="5">
                    <c:v>65 - 74</c:v>
                  </c:pt>
                  <c:pt idx="6">
                    <c:v>75 - 84</c:v>
                  </c:pt>
                </c:lvl>
                <c:lvl>
                  <c:pt idx="0">
                    <c:v>Age Groups</c:v>
                  </c:pt>
                </c:lvl>
              </c:multiLvlStrCache>
            </c:multiLvlStrRef>
          </c:cat>
          <c:val>
            <c:numRef>
              <c:f>Age!$G$7:$M$7</c:f>
              <c:numCache>
                <c:formatCode>General</c:formatCode>
                <c:ptCount val="7"/>
                <c:pt idx="0">
                  <c:v>0.0</c:v>
                </c:pt>
                <c:pt idx="1">
                  <c:v>4.0</c:v>
                </c:pt>
                <c:pt idx="2">
                  <c:v>8.0</c:v>
                </c:pt>
                <c:pt idx="3">
                  <c:v>9.0</c:v>
                </c:pt>
                <c:pt idx="4">
                  <c:v>6.0</c:v>
                </c:pt>
                <c:pt idx="5">
                  <c:v>3.0</c:v>
                </c:pt>
                <c:pt idx="6">
                  <c:v>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05-4B69-9874-EAF66D3C9CC3}"/>
            </c:ext>
          </c:extLst>
        </c:ser>
        <c:ser>
          <c:idx val="1"/>
          <c:order val="1"/>
          <c:tx>
            <c:strRef>
              <c:f>Age!$F$8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2">
                  <a:lumMod val="75000"/>
                </a:schemeClr>
              </a:solidFill>
            </a:ln>
            <a:effectLst/>
          </c:spPr>
          <c:invertIfNegative val="0"/>
          <c:cat>
            <c:multiLvlStrRef>
              <c:f>Age!$G$5:$M$6</c:f>
              <c:multiLvlStrCache>
                <c:ptCount val="7"/>
                <c:lvl>
                  <c:pt idx="0">
                    <c:v>15 - 24</c:v>
                  </c:pt>
                  <c:pt idx="1">
                    <c:v>25 - 34</c:v>
                  </c:pt>
                  <c:pt idx="2">
                    <c:v>35 - 44</c:v>
                  </c:pt>
                  <c:pt idx="3">
                    <c:v>45 - 54</c:v>
                  </c:pt>
                  <c:pt idx="4">
                    <c:v>55 - 64</c:v>
                  </c:pt>
                  <c:pt idx="5">
                    <c:v>65 - 74</c:v>
                  </c:pt>
                  <c:pt idx="6">
                    <c:v>75 - 84</c:v>
                  </c:pt>
                </c:lvl>
                <c:lvl>
                  <c:pt idx="0">
                    <c:v>Age Groups</c:v>
                  </c:pt>
                </c:lvl>
              </c:multiLvlStrCache>
            </c:multiLvlStrRef>
          </c:cat>
          <c:val>
            <c:numRef>
              <c:f>Age!$G$8:$M$8</c:f>
              <c:numCache>
                <c:formatCode>General</c:formatCode>
                <c:ptCount val="7"/>
                <c:pt idx="0">
                  <c:v>1.0</c:v>
                </c:pt>
                <c:pt idx="1">
                  <c:v>0.0</c:v>
                </c:pt>
                <c:pt idx="2">
                  <c:v>8.0</c:v>
                </c:pt>
                <c:pt idx="3">
                  <c:v>7.0</c:v>
                </c:pt>
                <c:pt idx="4">
                  <c:v>5.0</c:v>
                </c:pt>
                <c:pt idx="5">
                  <c:v>4.0</c:v>
                </c:pt>
                <c:pt idx="6">
                  <c:v>6.0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05-4B69-9874-EAF66D3C9C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01945200"/>
        <c:axId val="2101947520"/>
      </c:barChart>
      <c:catAx>
        <c:axId val="210194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  <c:crossAx val="2101947520"/>
        <c:crosses val="autoZero"/>
        <c:auto val="1"/>
        <c:lblAlgn val="ctr"/>
        <c:lblOffset val="100"/>
        <c:noMultiLvlLbl val="0"/>
      </c:catAx>
      <c:valAx>
        <c:axId val="2101947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>
                    <a:solidFill>
                      <a:sysClr val="windowText" lastClr="000000"/>
                    </a:solidFill>
                  </a:rPr>
                  <a:t>Number of Sudden</a:t>
                </a:r>
                <a:r>
                  <a:rPr lang="en-GB" sz="1100" baseline="0">
                    <a:solidFill>
                      <a:sysClr val="windowText" lastClr="000000"/>
                    </a:solidFill>
                  </a:rPr>
                  <a:t> Cardiac Deaths</a:t>
                </a:r>
                <a:endParaRPr lang="en-GB" sz="1100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0275171982489056"/>
              <c:y val="0.07926881720430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GB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  <c:crossAx val="210194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0583552055993"/>
          <c:y val="0.894096675415573"/>
          <c:w val="0.178647617501421"/>
          <c:h val="0.07557604848943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GB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GB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Westaby</dc:creator>
  <cp:keywords/>
  <dc:description/>
  <cp:lastModifiedBy>Joseph Westaby</cp:lastModifiedBy>
  <cp:revision>2</cp:revision>
  <dcterms:created xsi:type="dcterms:W3CDTF">2017-03-12T13:16:00Z</dcterms:created>
  <dcterms:modified xsi:type="dcterms:W3CDTF">2017-03-12T13:16:00Z</dcterms:modified>
</cp:coreProperties>
</file>