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FBBFB" w14:textId="17FF0680" w:rsidR="008E1CAA" w:rsidRPr="00730105" w:rsidRDefault="008E1CAA" w:rsidP="008E1CAA">
      <w:pPr>
        <w:pStyle w:val="Heading1"/>
      </w:pPr>
      <w:r w:rsidRPr="00730105">
        <w:t>A simplified version of the Psychogenic Movement Disorders Rating Scale</w:t>
      </w:r>
      <w:r w:rsidR="00203C6F">
        <w:t>: The Simplified Functional Movement Disorders Rating Scale (S-FMDRS)</w:t>
      </w:r>
    </w:p>
    <w:p w14:paraId="086B6E91" w14:textId="77777777" w:rsidR="008E1CAA" w:rsidRPr="00730105" w:rsidRDefault="008E1CAA" w:rsidP="008E1CAA">
      <w:pPr>
        <w:spacing w:after="0" w:line="240" w:lineRule="auto"/>
        <w:rPr>
          <w:rFonts w:cs="Arial"/>
          <w:b/>
        </w:rPr>
      </w:pPr>
    </w:p>
    <w:p w14:paraId="1C7D771C" w14:textId="3844D533" w:rsidR="008E1CAA" w:rsidRDefault="008E1CAA" w:rsidP="008E1CAA">
      <w:pPr>
        <w:rPr>
          <w:vertAlign w:val="superscript"/>
        </w:rPr>
      </w:pPr>
      <w:r w:rsidRPr="00730105">
        <w:t>G</w:t>
      </w:r>
      <w:r w:rsidR="00AF4D33">
        <w:t>lenn Nielsen, BSc(Hons)</w:t>
      </w:r>
      <w:r w:rsidRPr="00730105">
        <w:rPr>
          <w:vertAlign w:val="superscript"/>
        </w:rPr>
        <w:t>1,2</w:t>
      </w:r>
      <w:r w:rsidRPr="00730105">
        <w:t>,</w:t>
      </w:r>
      <w:r w:rsidR="00AF4D33">
        <w:t xml:space="preserve"> Luciana</w:t>
      </w:r>
      <w:r w:rsidRPr="00730105">
        <w:t xml:space="preserve"> Ricciardi</w:t>
      </w:r>
      <w:r w:rsidR="00AF4D33">
        <w:t xml:space="preserve">, MD, </w:t>
      </w:r>
      <w:proofErr w:type="spellStart"/>
      <w:r w:rsidR="00AF4D33">
        <w:t>PhD</w:t>
      </w:r>
      <w:r w:rsidRPr="00730105">
        <w:rPr>
          <w:vertAlign w:val="superscript"/>
        </w:rPr>
        <w:t>3</w:t>
      </w:r>
      <w:proofErr w:type="spellEnd"/>
      <w:r w:rsidR="00AF4D33">
        <w:rPr>
          <w:vertAlign w:val="superscript"/>
        </w:rPr>
        <w:t xml:space="preserve"> </w:t>
      </w:r>
      <w:r w:rsidRPr="00730105">
        <w:t>,</w:t>
      </w:r>
      <w:r w:rsidR="00AF4D33">
        <w:t xml:space="preserve"> Anne </w:t>
      </w:r>
      <w:proofErr w:type="spellStart"/>
      <w:r w:rsidR="00AF4D33">
        <w:t>Marthe</w:t>
      </w:r>
      <w:proofErr w:type="spellEnd"/>
      <w:r w:rsidRPr="00730105">
        <w:t xml:space="preserve"> </w:t>
      </w:r>
      <w:proofErr w:type="spellStart"/>
      <w:r w:rsidRPr="00730105">
        <w:t>Meppelink</w:t>
      </w:r>
      <w:proofErr w:type="spellEnd"/>
      <w:r w:rsidR="00AF4D33">
        <w:t xml:space="preserve">, MD, </w:t>
      </w:r>
      <w:proofErr w:type="spellStart"/>
      <w:r w:rsidR="00AF4D33">
        <w:t>PhD</w:t>
      </w:r>
      <w:r w:rsidRPr="00730105">
        <w:rPr>
          <w:vertAlign w:val="superscript"/>
        </w:rPr>
        <w:t>4</w:t>
      </w:r>
      <w:proofErr w:type="spellEnd"/>
      <w:r w:rsidRPr="00730105">
        <w:t>,</w:t>
      </w:r>
      <w:r w:rsidR="00C70A1A">
        <w:t xml:space="preserve"> </w:t>
      </w:r>
      <w:r w:rsidR="00AF4D33">
        <w:t xml:space="preserve">Kate </w:t>
      </w:r>
      <w:r w:rsidR="00C70A1A">
        <w:t>Holt</w:t>
      </w:r>
      <w:r w:rsidR="00903F59">
        <w:t>,</w:t>
      </w:r>
      <w:r w:rsidR="00C70A1A">
        <w:t xml:space="preserve"> </w:t>
      </w:r>
      <w:r w:rsidR="00AF4D33">
        <w:t>BSc</w:t>
      </w:r>
      <w:r w:rsidR="0088459B">
        <w:t>(Hons)</w:t>
      </w:r>
      <w:r w:rsidR="0026279D" w:rsidRPr="00730105">
        <w:rPr>
          <w:vertAlign w:val="superscript"/>
        </w:rPr>
        <w:t>3</w:t>
      </w:r>
      <w:r w:rsidR="0026279D">
        <w:t>,</w:t>
      </w:r>
      <w:r w:rsidR="00FE5023">
        <w:t xml:space="preserve"> </w:t>
      </w:r>
      <w:r w:rsidR="00903F59">
        <w:t xml:space="preserve">Tiago </w:t>
      </w:r>
      <w:r w:rsidR="00FE5023">
        <w:t>Teodoro</w:t>
      </w:r>
      <w:r w:rsidR="00903F59">
        <w:t xml:space="preserve">, </w:t>
      </w:r>
      <w:proofErr w:type="spellStart"/>
      <w:r w:rsidR="00903F59">
        <w:t>MD</w:t>
      </w:r>
      <w:r w:rsidR="00FE5023" w:rsidRPr="00730105">
        <w:rPr>
          <w:vertAlign w:val="superscript"/>
        </w:rPr>
        <w:t>3</w:t>
      </w:r>
      <w:r w:rsidR="005A14D8">
        <w:rPr>
          <w:vertAlign w:val="superscript"/>
        </w:rPr>
        <w:t>,5,6</w:t>
      </w:r>
      <w:proofErr w:type="spellEnd"/>
      <w:r w:rsidR="00FE5023">
        <w:t>,</w:t>
      </w:r>
      <w:r w:rsidR="0026279D">
        <w:t xml:space="preserve"> </w:t>
      </w:r>
      <w:r w:rsidR="00AF4D33">
        <w:t xml:space="preserve">Mark Edwards, MD, </w:t>
      </w:r>
      <w:proofErr w:type="spellStart"/>
      <w:r w:rsidR="00AF4D33">
        <w:t>PhD</w:t>
      </w:r>
      <w:r w:rsidRPr="00730105">
        <w:rPr>
          <w:vertAlign w:val="superscript"/>
        </w:rPr>
        <w:t>3</w:t>
      </w:r>
      <w:proofErr w:type="spellEnd"/>
    </w:p>
    <w:p w14:paraId="144F3D20" w14:textId="77777777" w:rsidR="008E1CAA" w:rsidRDefault="008E1CAA" w:rsidP="008E1CAA">
      <w:pPr>
        <w:pStyle w:val="ListParagraph"/>
      </w:pPr>
    </w:p>
    <w:p w14:paraId="3EE8A0D5" w14:textId="77777777" w:rsidR="008E1CAA" w:rsidRPr="00730105" w:rsidRDefault="008E1CAA" w:rsidP="008E1CAA">
      <w:pPr>
        <w:pStyle w:val="ListParagraph"/>
        <w:numPr>
          <w:ilvl w:val="0"/>
          <w:numId w:val="2"/>
        </w:numPr>
      </w:pPr>
      <w:proofErr w:type="spellStart"/>
      <w:r w:rsidRPr="00730105">
        <w:t>Sobell</w:t>
      </w:r>
      <w:proofErr w:type="spellEnd"/>
      <w:r w:rsidRPr="00730105">
        <w:t xml:space="preserve"> Department of Motor Neuroscience and Movement Disorders, UCL Institute of Neurology, Queen Square, London WC1N 3BG.</w:t>
      </w:r>
    </w:p>
    <w:p w14:paraId="7D6EEBA9" w14:textId="77777777" w:rsidR="008E1CAA" w:rsidRPr="00730105" w:rsidRDefault="008E1CAA" w:rsidP="008E1CAA">
      <w:pPr>
        <w:pStyle w:val="ListParagraph"/>
        <w:numPr>
          <w:ilvl w:val="0"/>
          <w:numId w:val="2"/>
        </w:numPr>
      </w:pPr>
      <w:r w:rsidRPr="00730105">
        <w:t>Therapy Services Department, National Hospital for Neurology and Neurosurgery, Queen Square, London WC1N 3BG</w:t>
      </w:r>
    </w:p>
    <w:p w14:paraId="23539BE5" w14:textId="77777777" w:rsidR="008E1CAA" w:rsidRPr="00730105" w:rsidRDefault="008E1CAA" w:rsidP="008E1CAA">
      <w:pPr>
        <w:pStyle w:val="ListParagraph"/>
        <w:numPr>
          <w:ilvl w:val="0"/>
          <w:numId w:val="2"/>
        </w:numPr>
        <w:rPr>
          <w:color w:val="000000" w:themeColor="text1"/>
        </w:rPr>
      </w:pPr>
      <w:r w:rsidRPr="00730105">
        <w:rPr>
          <w:color w:val="000000" w:themeColor="text1"/>
        </w:rPr>
        <w:t>Institute of Cardiovascular and Cell Sciences, St Georges University of London, London, SW17 0RE</w:t>
      </w:r>
    </w:p>
    <w:p w14:paraId="59907070" w14:textId="77777777" w:rsidR="008E1CAA" w:rsidRDefault="008E1CAA" w:rsidP="008E1CAA">
      <w:pPr>
        <w:pStyle w:val="ListParagraph"/>
        <w:numPr>
          <w:ilvl w:val="0"/>
          <w:numId w:val="2"/>
        </w:numPr>
      </w:pPr>
      <w:r w:rsidRPr="00730105">
        <w:t xml:space="preserve">Department of Neurology, University Medical Centre Groningen, University of Groningen, Groningen, the Netherlands. </w:t>
      </w:r>
    </w:p>
    <w:p w14:paraId="3B7174B9" w14:textId="38B40659" w:rsidR="005A14D8" w:rsidRDefault="005A14D8" w:rsidP="005A14D8">
      <w:pPr>
        <w:pStyle w:val="ListParagraph"/>
        <w:numPr>
          <w:ilvl w:val="0"/>
          <w:numId w:val="2"/>
        </w:numPr>
      </w:pPr>
      <w:proofErr w:type="spellStart"/>
      <w:r>
        <w:t>Instituto</w:t>
      </w:r>
      <w:proofErr w:type="spellEnd"/>
      <w:r>
        <w:t xml:space="preserve"> de </w:t>
      </w:r>
      <w:proofErr w:type="spellStart"/>
      <w:r>
        <w:t>Medicina</w:t>
      </w:r>
      <w:proofErr w:type="spellEnd"/>
      <w:r>
        <w:t xml:space="preserve"> Molecular, </w:t>
      </w:r>
      <w:proofErr w:type="spellStart"/>
      <w:r>
        <w:t>Faculdade</w:t>
      </w:r>
      <w:proofErr w:type="spellEnd"/>
      <w:r>
        <w:t xml:space="preserve"> de </w:t>
      </w:r>
      <w:proofErr w:type="spellStart"/>
      <w:r>
        <w:t>Medicina</w:t>
      </w:r>
      <w:proofErr w:type="spellEnd"/>
      <w:r>
        <w:t xml:space="preserve">, </w:t>
      </w:r>
      <w:proofErr w:type="spellStart"/>
      <w:r>
        <w:t>Universidade</w:t>
      </w:r>
      <w:proofErr w:type="spellEnd"/>
      <w:r>
        <w:t xml:space="preserve"> de </w:t>
      </w:r>
      <w:proofErr w:type="spellStart"/>
      <w:r>
        <w:t>Lisboa</w:t>
      </w:r>
      <w:proofErr w:type="spellEnd"/>
      <w:r>
        <w:t xml:space="preserve">, </w:t>
      </w:r>
      <w:proofErr w:type="spellStart"/>
      <w:r>
        <w:t>Lisboa</w:t>
      </w:r>
      <w:proofErr w:type="spellEnd"/>
      <w:r>
        <w:t>, Portugal</w:t>
      </w:r>
    </w:p>
    <w:p w14:paraId="5F48DA56" w14:textId="44275804" w:rsidR="005A14D8" w:rsidRPr="00730105" w:rsidRDefault="005A14D8" w:rsidP="005A14D8">
      <w:pPr>
        <w:pStyle w:val="ListParagraph"/>
        <w:numPr>
          <w:ilvl w:val="0"/>
          <w:numId w:val="2"/>
        </w:numPr>
      </w:pPr>
      <w:proofErr w:type="spellStart"/>
      <w:r>
        <w:t>Serviço</w:t>
      </w:r>
      <w:proofErr w:type="spellEnd"/>
      <w:r>
        <w:t xml:space="preserve"> de </w:t>
      </w:r>
      <w:proofErr w:type="spellStart"/>
      <w:r>
        <w:t>Neurologia</w:t>
      </w:r>
      <w:proofErr w:type="spellEnd"/>
      <w:r>
        <w:t xml:space="preserve">, Hospital de Santa Maria, </w:t>
      </w:r>
      <w:proofErr w:type="spellStart"/>
      <w:r>
        <w:t>Lisboa</w:t>
      </w:r>
      <w:proofErr w:type="spellEnd"/>
      <w:r>
        <w:t>, Portugal</w:t>
      </w:r>
    </w:p>
    <w:p w14:paraId="15366722" w14:textId="77777777" w:rsidR="008E1CAA" w:rsidRDefault="008E1CAA" w:rsidP="008E1CAA"/>
    <w:p w14:paraId="631F5326" w14:textId="77777777" w:rsidR="008E1CAA" w:rsidRPr="00730105" w:rsidRDefault="008E1CAA" w:rsidP="008E1CAA">
      <w:pPr>
        <w:pStyle w:val="Tables"/>
        <w:spacing w:line="360" w:lineRule="auto"/>
      </w:pPr>
      <w:r w:rsidRPr="00730105">
        <w:t>Correspondence:</w:t>
      </w:r>
      <w:r w:rsidRPr="00730105">
        <w:tab/>
        <w:t>Mr Glenn Nielsen</w:t>
      </w:r>
    </w:p>
    <w:p w14:paraId="43C5C3CD" w14:textId="77777777" w:rsidR="008E1CAA" w:rsidRPr="00730105" w:rsidRDefault="008E1CAA" w:rsidP="008E1CAA">
      <w:pPr>
        <w:pStyle w:val="Tables"/>
        <w:spacing w:line="360" w:lineRule="auto"/>
      </w:pPr>
      <w:r w:rsidRPr="00730105">
        <w:tab/>
      </w:r>
      <w:r w:rsidRPr="00730105">
        <w:tab/>
      </w:r>
      <w:r w:rsidRPr="00730105">
        <w:tab/>
      </w:r>
      <w:proofErr w:type="spellStart"/>
      <w:r w:rsidRPr="00730105">
        <w:t>Sobell</w:t>
      </w:r>
      <w:proofErr w:type="spellEnd"/>
      <w:r w:rsidRPr="00730105">
        <w:t xml:space="preserve"> Department of Motor Neuroscience &amp; Movement Disorders</w:t>
      </w:r>
    </w:p>
    <w:p w14:paraId="14F57800" w14:textId="77777777" w:rsidR="008E1CAA" w:rsidRPr="00730105" w:rsidRDefault="008E1CAA" w:rsidP="008E1CAA">
      <w:pPr>
        <w:pStyle w:val="Tables"/>
        <w:spacing w:line="360" w:lineRule="auto"/>
        <w:ind w:left="1440" w:firstLine="720"/>
      </w:pPr>
      <w:r w:rsidRPr="00730105">
        <w:t>UCL Institute of Neurology, Box 146</w:t>
      </w:r>
    </w:p>
    <w:p w14:paraId="28095A63" w14:textId="77777777" w:rsidR="008E1CAA" w:rsidRPr="00730105" w:rsidRDefault="008E1CAA" w:rsidP="008E1CAA">
      <w:pPr>
        <w:pStyle w:val="Tables"/>
        <w:spacing w:line="360" w:lineRule="auto"/>
      </w:pPr>
      <w:r w:rsidRPr="00730105">
        <w:tab/>
      </w:r>
      <w:r w:rsidRPr="00730105">
        <w:tab/>
      </w:r>
      <w:r w:rsidRPr="00730105">
        <w:tab/>
        <w:t>Queen Square</w:t>
      </w:r>
    </w:p>
    <w:p w14:paraId="09DD5F43" w14:textId="77777777" w:rsidR="008E1CAA" w:rsidRPr="00730105" w:rsidRDefault="008E1CAA" w:rsidP="008E1CAA">
      <w:pPr>
        <w:pStyle w:val="Tables"/>
        <w:spacing w:line="360" w:lineRule="auto"/>
      </w:pPr>
      <w:r w:rsidRPr="00730105">
        <w:tab/>
      </w:r>
      <w:r w:rsidRPr="00730105">
        <w:tab/>
      </w:r>
      <w:r w:rsidRPr="00730105">
        <w:tab/>
        <w:t>London</w:t>
      </w:r>
    </w:p>
    <w:p w14:paraId="0C9C31E9" w14:textId="77777777" w:rsidR="008E1CAA" w:rsidRPr="00730105" w:rsidRDefault="008E1CAA" w:rsidP="008E1CAA">
      <w:pPr>
        <w:pStyle w:val="Tables"/>
        <w:spacing w:line="360" w:lineRule="auto"/>
      </w:pPr>
      <w:r w:rsidRPr="00730105">
        <w:tab/>
      </w:r>
      <w:r w:rsidRPr="00730105">
        <w:tab/>
      </w:r>
      <w:r w:rsidRPr="00730105">
        <w:tab/>
        <w:t>WC1N 3BG</w:t>
      </w:r>
    </w:p>
    <w:p w14:paraId="5F335D55" w14:textId="77777777" w:rsidR="008E1CAA" w:rsidRPr="00730105" w:rsidRDefault="008E1CAA" w:rsidP="008E1CAA">
      <w:pPr>
        <w:pStyle w:val="Tables"/>
        <w:spacing w:line="360" w:lineRule="auto"/>
      </w:pPr>
      <w:r w:rsidRPr="00730105">
        <w:tab/>
      </w:r>
      <w:r w:rsidRPr="00730105">
        <w:tab/>
      </w:r>
      <w:r w:rsidRPr="00730105">
        <w:tab/>
        <w:t>Tel: +44 (0)20 344 88606</w:t>
      </w:r>
    </w:p>
    <w:p w14:paraId="50906DBB" w14:textId="77777777" w:rsidR="008E1CAA" w:rsidRPr="00730105" w:rsidRDefault="008E1CAA" w:rsidP="008E1CAA">
      <w:pPr>
        <w:pStyle w:val="Tables"/>
        <w:spacing w:line="360" w:lineRule="auto"/>
        <w:ind w:left="1440" w:firstLine="720"/>
      </w:pPr>
      <w:r w:rsidRPr="00730105">
        <w:t xml:space="preserve">Email: </w:t>
      </w:r>
      <w:hyperlink r:id="rId8" w:history="1">
        <w:r w:rsidRPr="00730105">
          <w:rPr>
            <w:rStyle w:val="Hyperlink"/>
            <w:rFonts w:cs="Arial"/>
            <w:szCs w:val="22"/>
          </w:rPr>
          <w:t>g.nielsen@ucl.ac.uk</w:t>
        </w:r>
      </w:hyperlink>
    </w:p>
    <w:p w14:paraId="1CC29530" w14:textId="77777777" w:rsidR="001941AC" w:rsidRDefault="001941AC" w:rsidP="008E1CAA">
      <w:pPr>
        <w:rPr>
          <w:b/>
        </w:rPr>
      </w:pPr>
    </w:p>
    <w:p w14:paraId="11F91121" w14:textId="1986C6E4" w:rsidR="0018505B" w:rsidRDefault="00446C5A">
      <w:pPr>
        <w:spacing w:after="0" w:line="240" w:lineRule="auto"/>
      </w:pPr>
      <w:r>
        <w:t>Word Count</w:t>
      </w:r>
      <w:r w:rsidR="0018505B">
        <w:t xml:space="preserve"> Text</w:t>
      </w:r>
      <w:r>
        <w:t xml:space="preserve">: </w:t>
      </w:r>
      <w:r w:rsidR="009A0516">
        <w:t>2592</w:t>
      </w:r>
    </w:p>
    <w:p w14:paraId="0D126CF2" w14:textId="77777777" w:rsidR="0018505B" w:rsidRDefault="0018505B">
      <w:pPr>
        <w:spacing w:after="0" w:line="240" w:lineRule="auto"/>
      </w:pPr>
    </w:p>
    <w:p w14:paraId="0FDE8221" w14:textId="59C549E3" w:rsidR="0018505B" w:rsidRDefault="0018505B">
      <w:pPr>
        <w:spacing w:after="0" w:line="240" w:lineRule="auto"/>
      </w:pPr>
      <w:r>
        <w:t xml:space="preserve">Word Count Abstract: </w:t>
      </w:r>
      <w:r w:rsidR="00E45E11">
        <w:t>242</w:t>
      </w:r>
    </w:p>
    <w:p w14:paraId="45944FAA" w14:textId="77777777" w:rsidR="0018505B" w:rsidRDefault="0018505B">
      <w:pPr>
        <w:spacing w:after="0" w:line="240" w:lineRule="auto"/>
      </w:pPr>
    </w:p>
    <w:p w14:paraId="7B751E49" w14:textId="77777777" w:rsidR="00017007" w:rsidRDefault="0018505B">
      <w:pPr>
        <w:spacing w:after="0" w:line="240" w:lineRule="auto"/>
      </w:pPr>
      <w:r>
        <w:t xml:space="preserve">Key Words: Functional Movement Disorder, Psychogenic, Reliability </w:t>
      </w:r>
    </w:p>
    <w:p w14:paraId="4719DA06" w14:textId="77777777" w:rsidR="00017007" w:rsidRDefault="00017007">
      <w:pPr>
        <w:spacing w:after="0" w:line="240" w:lineRule="auto"/>
      </w:pPr>
      <w:r>
        <w:br w:type="page"/>
      </w:r>
    </w:p>
    <w:p w14:paraId="4DE8AE6C" w14:textId="7CBF1BED" w:rsidR="008E1CAA" w:rsidRDefault="008E1CAA" w:rsidP="008E1CAA">
      <w:pPr>
        <w:pStyle w:val="Heading1"/>
      </w:pPr>
      <w:r>
        <w:lastRenderedPageBreak/>
        <w:t>Abstract</w:t>
      </w:r>
      <w:r w:rsidR="00446C5A">
        <w:t xml:space="preserve"> </w:t>
      </w:r>
    </w:p>
    <w:p w14:paraId="72783973" w14:textId="77777777" w:rsidR="008E1CAA" w:rsidRPr="00473993" w:rsidRDefault="008E1CAA" w:rsidP="008E1CAA">
      <w:pPr>
        <w:spacing w:after="0" w:line="240" w:lineRule="auto"/>
        <w:rPr>
          <w:b/>
        </w:rPr>
      </w:pPr>
    </w:p>
    <w:p w14:paraId="0940F747" w14:textId="40FD05C4" w:rsidR="008E1CAA" w:rsidRPr="00473993" w:rsidRDefault="008E1CAA" w:rsidP="008E1CAA">
      <w:r w:rsidRPr="00473993">
        <w:rPr>
          <w:b/>
        </w:rPr>
        <w:t>Background:</w:t>
      </w:r>
      <w:r w:rsidR="00473993">
        <w:rPr>
          <w:b/>
        </w:rPr>
        <w:t xml:space="preserve"> </w:t>
      </w:r>
      <w:r w:rsidR="00473993" w:rsidRPr="001A038E">
        <w:t>T</w:t>
      </w:r>
      <w:r w:rsidR="00473993">
        <w:t>he Psychogenic Movement Disorders Rating Scale (PMDRS) has potential</w:t>
      </w:r>
      <w:r w:rsidR="00E11326">
        <w:t xml:space="preserve"> </w:t>
      </w:r>
      <w:r w:rsidR="0019025A">
        <w:t>as a</w:t>
      </w:r>
      <w:r w:rsidR="00017F38">
        <w:t xml:space="preserve"> useful</w:t>
      </w:r>
      <w:r w:rsidR="00473993">
        <w:t xml:space="preserve"> objective assessment in clinical research</w:t>
      </w:r>
      <w:r w:rsidR="001A0DAD">
        <w:t>, but the current scale has limitations</w:t>
      </w:r>
      <w:r w:rsidR="00473993">
        <w:t xml:space="preserve">. We </w:t>
      </w:r>
      <w:r w:rsidR="001A0DAD">
        <w:t xml:space="preserve">developed a simplified version </w:t>
      </w:r>
      <w:r w:rsidR="00E11326">
        <w:t>(S-</w:t>
      </w:r>
      <w:proofErr w:type="spellStart"/>
      <w:r w:rsidR="00203C6F">
        <w:t>FMDRS</w:t>
      </w:r>
      <w:proofErr w:type="spellEnd"/>
      <w:r w:rsidR="00E11326">
        <w:t>)</w:t>
      </w:r>
      <w:r w:rsidR="00473993">
        <w:t xml:space="preserve"> and asses</w:t>
      </w:r>
      <w:r w:rsidR="00D51073">
        <w:t>sed inter-rater reliability, concurrent validity and sensitivity.</w:t>
      </w:r>
    </w:p>
    <w:p w14:paraId="1C5B1412" w14:textId="0C320943" w:rsidR="008E1CAA" w:rsidRPr="00473993" w:rsidRDefault="008E1CAA" w:rsidP="008E1CAA">
      <w:r w:rsidRPr="00473993">
        <w:rPr>
          <w:b/>
        </w:rPr>
        <w:t>Methods:</w:t>
      </w:r>
      <w:r w:rsidR="00473993">
        <w:rPr>
          <w:b/>
        </w:rPr>
        <w:t xml:space="preserve"> </w:t>
      </w:r>
      <w:r w:rsidR="001A038E">
        <w:t>Fifty-two</w:t>
      </w:r>
      <w:r w:rsidR="00473993">
        <w:t xml:space="preserve"> videos of subjects with </w:t>
      </w:r>
      <w:r w:rsidR="001A0DAD">
        <w:t>functional (psychogenic) movement disorders (</w:t>
      </w:r>
      <w:r w:rsidR="00473993">
        <w:t>FMD</w:t>
      </w:r>
      <w:r w:rsidR="001A0DAD">
        <w:t>)</w:t>
      </w:r>
      <w:r w:rsidR="00473993">
        <w:t xml:space="preserve"> were rated according to the</w:t>
      </w:r>
      <w:r w:rsidR="00E11326">
        <w:t xml:space="preserve"> PMDRS and </w:t>
      </w:r>
      <w:r w:rsidR="00203C6F">
        <w:t>S-FMDRS</w:t>
      </w:r>
      <w:r w:rsidR="005E62AA">
        <w:t xml:space="preserve"> by t</w:t>
      </w:r>
      <w:r w:rsidR="008D7485">
        <w:t>hree</w:t>
      </w:r>
      <w:r w:rsidR="005E62AA">
        <w:t xml:space="preserve"> </w:t>
      </w:r>
      <w:r w:rsidR="00D51073">
        <w:t>neurologists</w:t>
      </w:r>
      <w:r w:rsidR="005E62AA">
        <w:t xml:space="preserve">. Inter-rater reliability was assessed using </w:t>
      </w:r>
      <w:proofErr w:type="spellStart"/>
      <w:r w:rsidR="005E62AA">
        <w:t>intraclass</w:t>
      </w:r>
      <w:proofErr w:type="spellEnd"/>
      <w:r w:rsidR="005E62AA">
        <w:t xml:space="preserve"> correlation coefficient (ICC). Agreement of symptomatic body regions and movement disorder classification was assessed using </w:t>
      </w:r>
      <w:r w:rsidR="00F67FBF">
        <w:t xml:space="preserve">Light’s </w:t>
      </w:r>
      <w:r w:rsidR="005E62AA">
        <w:t>kappa. Spearman’s correlation coefficient was used to assess concurrent validity.</w:t>
      </w:r>
      <w:r w:rsidR="00D51073">
        <w:t xml:space="preserve"> </w:t>
      </w:r>
      <w:r w:rsidR="001A0DAD">
        <w:t xml:space="preserve">A physiotherapist also rated videos on the </w:t>
      </w:r>
      <w:r w:rsidR="00203C6F">
        <w:t>S-FMDRS</w:t>
      </w:r>
      <w:r w:rsidR="00A72B33">
        <w:t>.</w:t>
      </w:r>
      <w:r w:rsidR="001A0DAD">
        <w:t xml:space="preserve"> </w:t>
      </w:r>
      <w:r w:rsidR="00D51073">
        <w:t xml:space="preserve">The simplified scale was piloted in a feasibility study of physiotherapy for FMD to assess sensitivity. </w:t>
      </w:r>
      <w:r w:rsidR="005E62AA">
        <w:t xml:space="preserve"> </w:t>
      </w:r>
    </w:p>
    <w:p w14:paraId="6D1DAFA2" w14:textId="75C28BFA" w:rsidR="008E1CAA" w:rsidRPr="005E62AA" w:rsidRDefault="008E1CAA" w:rsidP="008E1CAA">
      <w:r w:rsidRPr="005E62AA">
        <w:rPr>
          <w:b/>
        </w:rPr>
        <w:t>Results:</w:t>
      </w:r>
      <w:r w:rsidR="005E62AA">
        <w:rPr>
          <w:b/>
        </w:rPr>
        <w:t xml:space="preserve"> </w:t>
      </w:r>
      <w:r w:rsidR="005E62AA">
        <w:t>ICC</w:t>
      </w:r>
      <w:r w:rsidR="00D51073">
        <w:t xml:space="preserve"> of total scores</w:t>
      </w:r>
      <w:r w:rsidR="005E62AA">
        <w:t xml:space="preserve"> was 0.84 for the original scale and 0.8</w:t>
      </w:r>
      <w:r w:rsidR="00FE5023">
        <w:t>5</w:t>
      </w:r>
      <w:r w:rsidR="005E62AA">
        <w:t xml:space="preserve"> for the simplified scale. </w:t>
      </w:r>
      <w:r w:rsidR="00F67FBF">
        <w:t>Light</w:t>
      </w:r>
      <w:r w:rsidR="005E62AA">
        <w:t xml:space="preserve">’s kappa for agreement of symptomatic body regions and movement disorder classification was moderate to low. Concurrent validity was demonstrated by Spearman’s correlation between the two scales </w:t>
      </w:r>
      <w:r w:rsidR="008D7485">
        <w:t xml:space="preserve">ranging from </w:t>
      </w:r>
      <w:r w:rsidR="005E62AA">
        <w:t>0.8</w:t>
      </w:r>
      <w:r w:rsidR="008D7485">
        <w:t>4 to</w:t>
      </w:r>
      <w:r w:rsidR="00D51073">
        <w:t xml:space="preserve"> 0.95. The simplified scale was sensitive to change, with an effect size</w:t>
      </w:r>
      <w:r w:rsidR="00E11326">
        <w:t xml:space="preserve"> in the feasibility study </w:t>
      </w:r>
      <w:r w:rsidR="00D51073">
        <w:t>of 0.79</w:t>
      </w:r>
      <w:r w:rsidR="00E11326">
        <w:t>.</w:t>
      </w:r>
      <w:r w:rsidR="001A0DAD">
        <w:t xml:space="preserve"> Inter-rater reliability between physiotherapist and neurologist was high</w:t>
      </w:r>
      <w:r w:rsidR="00BC61BB">
        <w:t xml:space="preserve"> (ICC 0.85)</w:t>
      </w:r>
      <w:r w:rsidR="001A0DAD">
        <w:t>.</w:t>
      </w:r>
    </w:p>
    <w:p w14:paraId="26E7C36D" w14:textId="2E1E5B63" w:rsidR="008E1CAA" w:rsidRPr="005E62AA" w:rsidRDefault="008E1CAA" w:rsidP="00E11326">
      <w:r w:rsidRPr="005E62AA">
        <w:rPr>
          <w:b/>
        </w:rPr>
        <w:t>Discussion:</w:t>
      </w:r>
      <w:r w:rsidR="005E62AA">
        <w:rPr>
          <w:b/>
        </w:rPr>
        <w:t xml:space="preserve"> </w:t>
      </w:r>
      <w:r w:rsidR="005E62AA">
        <w:t>Both versions of the scale had good inter-rater reliability</w:t>
      </w:r>
      <w:r w:rsidR="00E11326">
        <w:t xml:space="preserve"> for the total score. Low agreement on movement disorder classification and identification of symptomatic body regions support our argument for a simplified scale.</w:t>
      </w:r>
      <w:r w:rsidR="005E62AA">
        <w:t xml:space="preserve"> </w:t>
      </w:r>
    </w:p>
    <w:p w14:paraId="244103E4" w14:textId="11F9D060" w:rsidR="008E1CAA" w:rsidRDefault="008E1CAA" w:rsidP="008E1CAA">
      <w:r w:rsidRPr="00B008C3">
        <w:rPr>
          <w:b/>
        </w:rPr>
        <w:t>Conclusions:</w:t>
      </w:r>
      <w:r w:rsidR="00B008C3">
        <w:rPr>
          <w:b/>
        </w:rPr>
        <w:t xml:space="preserve"> </w:t>
      </w:r>
      <w:r w:rsidR="00B008C3">
        <w:t xml:space="preserve">The </w:t>
      </w:r>
      <w:r w:rsidR="00203C6F">
        <w:t>S-</w:t>
      </w:r>
      <w:proofErr w:type="spellStart"/>
      <w:r w:rsidR="00203C6F">
        <w:t>FMDRS</w:t>
      </w:r>
      <w:proofErr w:type="spellEnd"/>
      <w:r w:rsidR="00B008C3">
        <w:t xml:space="preserve"> </w:t>
      </w:r>
      <w:r w:rsidR="00E11326">
        <w:t xml:space="preserve">has high inter-rater reliability </w:t>
      </w:r>
      <w:r w:rsidR="0019025A">
        <w:t>and good sensitivity to change. Further psychometric evaluation is warranted.</w:t>
      </w:r>
    </w:p>
    <w:p w14:paraId="3A027FBE" w14:textId="4380E128" w:rsidR="00BC61BB" w:rsidRPr="00205AD0" w:rsidRDefault="00C22644" w:rsidP="00205AD0">
      <w:r>
        <w:t>[</w:t>
      </w:r>
      <w:r w:rsidR="00A72B33">
        <w:t>24</w:t>
      </w:r>
      <w:r w:rsidR="00E45E11">
        <w:t>2</w:t>
      </w:r>
      <w:r w:rsidR="00446C5A">
        <w:t xml:space="preserve"> words]</w:t>
      </w:r>
    </w:p>
    <w:p w14:paraId="28181891" w14:textId="77777777" w:rsidR="00205AD0" w:rsidRDefault="00205AD0">
      <w:pPr>
        <w:spacing w:after="0" w:line="240" w:lineRule="auto"/>
        <w:rPr>
          <w:rFonts w:eastAsiaTheme="majorEastAsia" w:cstheme="majorBidi"/>
          <w:b/>
          <w:szCs w:val="32"/>
        </w:rPr>
      </w:pPr>
      <w:r>
        <w:br w:type="page"/>
      </w:r>
    </w:p>
    <w:p w14:paraId="07A7E577" w14:textId="00070359" w:rsidR="008E1CAA" w:rsidRDefault="008E1CAA" w:rsidP="008E1CAA">
      <w:pPr>
        <w:pStyle w:val="Heading1"/>
      </w:pPr>
      <w:r>
        <w:lastRenderedPageBreak/>
        <w:t>Introduction</w:t>
      </w:r>
    </w:p>
    <w:p w14:paraId="4F1AB1EA" w14:textId="01F2EC0D" w:rsidR="008E1CAA" w:rsidRDefault="00C265DF" w:rsidP="00CA6E1F">
      <w:r>
        <w:t>There is increasing research interest in the treatment of patients with functional (psychogenic) movement disorders (FMD)</w:t>
      </w:r>
      <w:r w:rsidR="00172D4C">
        <w:t>.</w:t>
      </w:r>
      <w:r>
        <w:t xml:space="preserve"> </w:t>
      </w:r>
      <w:r w:rsidR="007559A9">
        <w:t>This research shows promising outcomes and</w:t>
      </w:r>
      <w:r>
        <w:t xml:space="preserve"> includes a divers</w:t>
      </w:r>
      <w:r w:rsidR="007559A9">
        <w:t xml:space="preserve">e range of treatments including </w:t>
      </w:r>
      <w:r w:rsidR="0043749E">
        <w:t>physiotherapy</w:t>
      </w:r>
      <w:r w:rsidR="007559A9">
        <w:t>, psychological therapy, multidisciplinary rehabilitation, novel biofeedback treatment</w:t>
      </w:r>
      <w:r w:rsidR="0048063E">
        <w:t>,</w:t>
      </w:r>
      <w:r w:rsidR="007559A9">
        <w:t xml:space="preserve"> supported </w:t>
      </w:r>
      <w:r w:rsidR="0043749E">
        <w:t>self-help</w:t>
      </w:r>
      <w:r w:rsidR="0048063E">
        <w:t xml:space="preserve"> and therapeutic </w:t>
      </w:r>
      <w:proofErr w:type="spellStart"/>
      <w:r w:rsidR="0048063E">
        <w:t>sedation</w:t>
      </w:r>
      <w:proofErr w:type="spellEnd"/>
      <w:r w:rsidR="007559A9">
        <w:fldChar w:fldCharType="begin" w:fldLock="1"/>
      </w:r>
      <w:r w:rsidR="00DF4C79">
        <w:instrText>ADDIN CSL_CITATION { "citationItems" : [ { "id" : "ITEM-1", "itemData" : { "DOI" : "10.1002/mdc3.12325", "ISSN" : "23301619", "author" : [ { "dropping-particle" : "", "family" : "Matthews", "given" : "Audrey", "non-dropping-particle" : "", "parse-names" : false, "suffix" : "" }, { "dropping-particle" : "", "family" : "Brown", "given" : "Melanie", "non-dropping-particle" : "", "parse-names" : false, "suffix" : "" }, { "dropping-particle" : "", "family" : "Stone", "given" : "Jon", "non-dropping-particle" : "", "parse-names" : false, "suffix" : "" } ], "container-title" : "Movement Disorders Clinical Practice", "id" : "ITEM-1", "issued" : { "date-parts" : [ [ "2016", "1" ] ] }, "page" : "93-6", "title" : "Inpatient Physiotherapy for Functional (Psychogenic) Gait Disorder: A Case Series of 35 Patients", "type" : "article-journal", "volume" : "28" }, "uris" : [ "http://www.mendeley.com/documents/?uuid=4f853562-ca23-4d4b-a4b2-7b157ec3d898" ] }, { "id" : "ITEM-2", "itemData" : { "DOI" : "10.1007/s00415-014-7631-1", "ISSN" : "0340-5354", "PMID" : "25557282", "abstract" : "Patients with functional motor disorder (FMD) are commonly seen by physiotherapists and there is growing evidence to support a physical rehabilitation approach. There are, however, few descriptions in the literature of the content of successful physiotherapy treatment. This prospective cohort study reports the practicalities and outcomes of a pilot 5-day physiotherapy programme. Patients were referred from a specialist movement disorders clinic. The treatment consisted of education and movement retraining, with a long-term self-management focus. Education and movement retraining was based on a pathophysiological model for FMD that stresses the importance of self-focussed attention and illness belief. Patients were assessed at baseline, end of treatment and 3-month follow-up. 47 patients completed the programme, mean symptom duration was 5.5\u00a0years, 64\u00a0% were unemployed due to ill health. At the end of treatment, 65\u00a0% rated their symptoms as \"very much improved\" or \"much improved\", this reduced to 55\u00a0% at 3\u00a0months. At follow-up, there was a significant improvement in physical domains of the SF-36, Berg Balance Scale and 10 Metre Timed Walk. Measures of mental health did not change. This prospective cohort study adds to the growing evidence that supports the use of specialist physiotherapy treatment for FMD. Improvements here were made despite the cohort having characteristics associated with poor prognosis. We argue that specific treatment techniques are important and have the potential to improve physical function, quality of life and may prove to be a cost-effective treatment for selected patients with FMD.", "author" : [ { "dropping-particle" : "", "family" : "Nielsen", "given" : "G", "non-dropping-particle" : "", "parse-names" : false, "suffix" : "" }, { "dropping-particle" : "", "family" : "Ricciardi", "given" : "L", "non-dropping-particle" : "", "parse-names" : false, "suffix" : "" }, { "dropping-particle" : "", "family" : "Demartini", "given" : "B", "non-dropping-particle" : "", "parse-names" : false, "suffix" : "" }, { "dropping-particle" : "", "family" : "Hunter", "given" : "R", "non-dropping-particle" : "", "parse-names" : false, "suffix" : "" }, { "dropping-particle" : "", "family" : "Joyce", "given" : "E", "non-dropping-particle" : "", "parse-names" : false, "suffix" : "" }, { "dropping-particle" : "", "family" : "Edwards", "given" : "M J", "non-dropping-particle" : "", "parse-names" : false, "suffix" : "" } ], "container-title" : "Journal of Neurology", "genre" : "Journal Article", "id" : "ITEM-2", "issue" : "3", "issued" : { "date-parts" : [ [ "2015" ] ] }, "page" : "674-81", "title" : "Outcomes of a 5-day physiotherapy programme for functional (psychogenic) motor disorders", "type" : "article-journal", "volume" : "262" }, "uris" : [ "http://www.mendeley.com/documents/?uuid=fb69abc3-68b9-4c98-ab8a-415f36d00dd0" ] }, { "id" : "ITEM-3", "itemData" : { "ISBN" : "1650-1977", "author" : [ { "dropping-particle" : "", "family" : "Jordbru", "given" : "Anika Aaker\u00f8y", "non-dropping-particle" : "", "parse-names" : false, "suffix" : "" }, { "dropping-particle" : "", "family" : "Smedstad", "given" : "Liv Marit", "non-dropping-particle" : "", "parse-names" : false, "suffix" : "" }, { "dropping-particle" : "", "family" : "Klungs\u00f8yr", "given" : "Ole", "non-dropping-particle" : "", "parse-names" : false, "suffix" : "" }, { "dropping-particle" : "", "family" : "Martinsen", "given" : "Egil Wilhelm", "non-dropping-particle" : "", "parse-names" : false, "suffix" : "" } ], "container-title" : "J Rehabil Med", "genre" : "Journal Article", "id" : "ITEM-3", "issue" : "2", "issued" : { "date-parts" : [ [ "2014" ] ] }, "page" : "181-187", "title" : "Psychogenic gait disorder: A randomized controlled trial of physical rehabilitation with one-year follow-up", "type" : "article-journal", "volume" : "46" }, "uris" : [ "http://www.mendeley.com/documents/?uuid=b8c67160-b665-4cbf-a70d-c172522ac18a" ] }, { "id" : "ITEM-4", "itemData" : { "DOI" : "10.1097/WCO.0b013e3283551bc1", "ISBN" : "1473-6551 (Electronic)\r1350-7540 (Linking)", "PMID" : "22610460", "abstract" : "PURPOSE OF REVIEW: This review provides an overview of recent developments in diagnosis, pathophysiology, neuroimaging and management of functional (psychogenic) movement disorders (FMD). RECENT FINDINGS: There has been increasing interest to study the underlying pathophysiology of FMD, which has resulted in a broadened disease model, taking neurobiologic and psychosocial factors equally into account. In this context, the term 'psychogenic' has been replaced by 'functional' movement disorders by many authors in the field to express the changing focus toward a multifactorial disease model. The need for establishing a positive diagnosis of FMD as opposed to providing a diagnosis of exclusion is increasingly recognized and reflected by the introduction of 'laboratory-supported' diagnostic criteria of FMD. Important advances have been made through behavioral, electrophysiological and neuroimaging studies, although the fundamental cause of FMD remains poorly understood. Of particular interest have been several reports on abnormal sensorimotor features and cortical inhibition in both organic and functional dystonia, highlighting possible shared traits of both conditions. In terms of treatment, recent studies have reported benefit from both psychiatric and physical therapy-based interventions. SUMMARY: Increasing efforts have been made toward better understanding of FMD, and the disease model has been broadened to include neurobiologic and psychosocial factors. Laboratory-based diagnostic criteria have been established for many FMD to support the clinical diagnosis. To determine the most effective management strategies for FMD, a closer collaboration between neurologists and psychiatrists and intensified research efforts with prospective treatment trials are needed.", "author" : [ { "dropping-particle" : "", "family" : "Czarnecki", "given" : "K", "non-dropping-particle" : "", "parse-names" : false, "suffix" : "" }, { "dropping-particle" : "", "family" : "Hallett", "given" : "M", "non-dropping-particle" : "", "parse-names" : false, "suffix" : "" } ], "container-title" : "Curr Opin Neurol", "genre" : "Journal Article", "id" : "ITEM-4", "issue" : "4", "issued" : { "date-parts" : [ [ "2012" ] ] }, "note" : "Czarnecki, Kathrin\nHallett, Mark\neng\nReview\nEngland\n2012/05/23 06:00\nCurr Opin Neurol. 2012 Aug;25(4):507-12. doi: 10.1097/WCO.0b013e3283551bc1.", "page" : "507-512", "title" : "Functional (psychogenic) movement disorders", "type" : "article-journal", "volume" : "25" }, "uris" : [ "http://www.mendeley.com/documents/?uuid=8d8cd1a9-c64a-4e15-ba33-16fe3567f759" ] }, { "id" : "ITEM-5", "itemData" : { "DOI" : "10.1016/j.parkreldis.2014.02.029", "ISBN" : "1873-5126 (Electronic)\r1353-8020 (Linking)", "PMID" : "24679736", "abstract" : "BACKGROUND: Entrainment, the change or elimination of tremor as patients perform a voluntary rhythmical movement by the unaffected limb, is a key diagnostic hallmark of psychogenic tremor. OBJECTIVE: To evaluate the feasibility of using entrainment as a bedside therapeutic strategy ('retrainment') in patients with psychogenic tremor. METHODS: Ten patients with psychogenic tremor (5 women, mean age, 53.6 +/- 12.8 years; mean disease duration 4.3 +/- 2.7 years) were asked to participate in a pilot proof-of-concept study aimed at \"retraining\" their tremor frequency. Retrainment was facilitated by tactile and auditory external cueing and real-time visual feedback on a computer screen. The primary outcome measure was the Tremor subscale of the Rating Scale for Psychogenic Movement Disorders. RESULTS: Tremor improved from 22.2 +/- 13.39 to 4.3 +/- 5.51 (p = 0.0019) at the end of retrainment. The benefits were maintained for at least 1 week and up to 6 months in 6 patients, with relapses occurring in 4 patients between 2 weeks and 6 months. Three subjects achieved tremor freedom. CONCLUSIONS: Tremor retrainment may be an effective short-term treatment strategy in psychogenic tremor. Although blinded evaluations are not feasible, future studies should examine the long-term benefits of tremor retrainment as adjunctive to psychotherapy or specialized physical therapy.", "author" : [ { "dropping-particle" : "", "family" : "Espay", "given" : "A J", "non-dropping-particle" : "", "parse-names" : false, "suffix" : "" }, { "dropping-particle" : "", "family" : "Edwards", "given" : "M J", "non-dropping-particle" : "", "parse-names" : false, "suffix" : "" }, { "dropping-particle" : "", "family" : "Oggioni", "given" : "G D", "non-dropping-particle" : "", "parse-names" : false, "suffix" : "" }, { "dropping-particle" : "", "family" : "Phielipp", "given" : "N", "non-dropping-particle" : "", "parse-names" : false, "suffix" : "" }, { "dropping-particle" : "", "family" : "Cox", "given" : "B", "non-dropping-particle" : "", "parse-names" : false, "suffix" : "" }, { "dropping-particle" : "", "family" : "Gonzalez-Usigli", "given" : "H", "non-dropping-particle" : "", "parse-names" : false, "suffix" : "" }, { "dropping-particle" : "", "family" : "Pecina", "given" : "C", "non-dropping-particle" : "", "parse-names" : false, "suffix" : "" }, { "dropping-particle" : "", "family" : "Heldman", "given" : "D A", "non-dropping-particle" : "", "parse-names" : false, "suffix" : "" }, { "dropping-particle" : "", "family" : "Mishra", "given" : "J", "non-dropping-particle" : "", "parse-names" : false, "suffix" : "" }, { "dropping-particle" : "", "family" : "Lang", "given" : "A E", "non-dropping-particle" : "", "parse-names" : false, "suffix" : "" } ], "container-title" : "Parkinsonism Relat Disord", "genre" : "Journal Article", "id" : "ITEM-5", "issue" : "6", "issued" : { "date-parts" : [ [ "2014" ] ] }, "note" : "Espay, A J\nEdwards, M J\nOggioni, G D\nPhielipp, N\nCox, B\nGonzalez-Usigli, H\nPecina, C\nHeldman, D A\nMishra, J\nLang, A E\neng\nK23 MH092735/MH/NIMH NIH HHS/\nEngland\n2014/04/01 06:00\nParkinsonism Relat Disord. 2014 Jun;20(6):647-50. doi: 10.1016/j.parkreldis.2014.02.029. Epub 2014 Mar 20.", "page" : "647-650", "title" : "Tremor retrainment as therapeutic strategy in psychogenic (functional) tremor", "type" : "article-journal", "volume" : "20" }, "uris" : [ "http://www.mendeley.com/documents/?uuid=52bcfa45-7ea2-4c93-9341-5f102c35d7e5" ] }, { "id" : "ITEM-6", "itemData" : { "DOI" : "10.1212/WNL.0b013e318228c0c7", "ISBN" : "0028-3878", "PMID" : "21795652", "abstract" : "OBJECTIVES: Functional (psychogenic or somatoform) symptoms are common in neurology clinics. Cognitive-behavioral therapy (CBT) can be an effective treatment, but there are major obstacles to its provision in practice. We tested the hypothesis that adding CBT-based guided self-help (GSH) to the usual care (UC) received by patients improves outcomes. METHODS: We conducted a randomized trial in 2 neurology services in the United Kingdom. Outpatients with functional symptoms (rated by the neurologist as \"not at all\" or only \"somewhat\" explained by organic disease) were randomly allocated to UC or UC plus GSH. GSH comprised a self-help manual and 4 half-hour guidance sessions. The primary outcome was self-rated health on a 5-point clinical global improvement scale (CGI) at 3 months. Secondary outcomes were measured at 3 and 6 months. RESULTS: In this trial, 127 participants were enrolled, and primary outcome data were collected for 125. Participants allocated to GSH reported greater improvement on the primary outcome (adjusted common odds ratio on the CGI 2.36 [95% confidence interval 1.17-4.74; p = 0.016]). The absolute difference in proportion \"better\" or \"much better\" was 13% (number needed to treat was 8). At 6 months the treatment effect was no longer statistically significant on the CGI but was apparent in symptom improvement and in physical functioning. CONCLUSIONS: CBT-based GSH is feasible to implement and efficacious. Further evaluation is indicated. CLASSIFICATION OF EVIDENCE: This study provides Class III evidence that CBT-based GSH therapy improves self-reported general health, as measured by the CGI, in patients with functional neurologic symptoms.", "author" : [ { "dropping-particle" : "", "family" : "Sharpe", "given" : "M", "non-dropping-particle" : "", "parse-names" : false, "suffix" : "" }, { "dropping-particle" : "", "family" : "Walker", "given" : "J", "non-dropping-particle" : "", "parse-names" : false, "suffix" : "" }, { "dropping-particle" : "", "family" : "Williams", "given" : "C", "non-dropping-particle" : "", "parse-names" : false, "suffix" : "" }, { "dropping-particle" : "", "family" : "Stone", "given" : "J", "non-dropping-particle" : "", "parse-names" : false, "suffix" : "" }, { "dropping-particle" : "", "family" : "Cavanagh", "given" : "J", "non-dropping-particle" : "", "parse-names" : false, "suffix" : "" }, { "dropping-particle" : "", "family" : "Murray", "given" : "G", "non-dropping-particle" : "", "parse-names" : false, "suffix" : "" }, { "dropping-particle" : "", "family" : "Butcher", "given" : "I", "non-dropping-particle" : "", "parse-names" : false, "suffix" : "" }, { "dropping-particle" : "", "family" : "Duncan", "given" : "R", "non-dropping-particle" : "", "parse-names" : false, "suffix" : "" }, { "dropping-particle" : "", "family" : "Smith", "given" : "S", "non-dropping-particle" : "", "parse-names" : false, "suffix" : "" }, { "dropping-particle" : "", "family" : "Carson", "given" : "A", "non-dropping-particle" : "", "parse-names" : false, "suffix" : "" } ], "container-title" : "Neurology", "edition" : "2011/07/29", "genre" : "Journal Article", "id" : "ITEM-6", "issue" : "6", "issued" : { "date-parts" : [ [ "2011" ] ] }, "language" : "eng", "note" : "1526-632x\nSharpe, M\nWalker, J\nWilliams, C\nStone, J\nCavanagh, J\nMurray, G\nButcher, I\nDuncan, R\nSmith, S\nCarson, A\nG0300876/Medical Research Council/United Kingdom\nG0800803/Medical Research Council/United Kingdom\nJournal Article\nMulticenter Study\nRandomized Controlled Trial\nResearch Support, Non-U.S. Gov't\nUnited States\nNeurology. 2011 Aug 9;77(6):564-72. doi: 10.1212/WNL.0b013e318228c0c7. Epub 2011 Jul 27.", "page" : "564-572", "title" : "Guided self-help for functional (psychogenic) symptoms: a randomized controlled efficacy trial", "type" : "article-journal", "volume" : "77" }, "uris" : [ "http://www.mendeley.com/documents/?uuid=c0d6342c-dbf0-41fa-94d8-2d5a28d7986f" ] }, { "id" : "ITEM-7", "itemData" : { "DOI" : "10.1007/s00415-014-7495-4", "ISBN" : "0340-5354", "PMID" : "25239392", "abstract" : "Although functional neurological symptoms are often very disabling there is limited information on outcome after treatment. Here we prospectively assessed the short- and long-term efficacy of an inpatient multidisciplinary programme for patients with FNS. We also sought to determine predictors of good outcome by assessing the responsiveness of different scales administered at admission, discharge and follow-up. Sixty-six consecutive patients were included. Assessments at admission, discharge and at 1 year follow-up (55 %) included: the Health of the Nation Outcome Scale, the Hospital Anxiety and Depression Scale, the Patient Health Questionnaire-15, the Revised Illness Perception Questionnaire, the Common Neurological Symptom Questionnaire, the Fear Questionnaire and the Canadian Occupational Performance Measure. At discharge and at 1 year follow-up patients were also asked to complete five-point self-rated scales of improvement. There were significant improvements in clinician-rated mental health and functional ability. In addition, patients reported that their levels of mood and anxiety had improved and that they were less bothered by somatic symptoms in general and neurological symptoms in particular. Two-thirds of patients rated their general health such as \"better\" or \"much better\" at discharge and this improvement was maintained over the following year. Change in HoNOS score was the only measure that successfully predicted patient-rated improvement. Our data suggest that a specialized multidisciplinary inpatient programme for FNS can provide long-lasting benefits in the majority of patients. Good outcome at discharge was exclusively predicted by improvement in the HoNOS which continued to improve over the 1 year following discharge.", "author" : [ { "dropping-particle" : "", "family" : "Demartini", "given" : "B", "non-dropping-particle" : "", "parse-names" : false, "suffix" : "" }, { "dropping-particle" : "", "family" : "Batla", "given" : "A", "non-dropping-particle" : "", "parse-names" : false, "suffix" : "" }, { "dropping-particle" : "", "family" : "Petrochilos", "given" : "P", "non-dropping-particle" : "", "parse-names" : false, "suffix" : "" }, { "dropping-particle" : "", "family" : "Fisher", "given" : "L", "non-dropping-particle" : "", "parse-names" : false, "suffix" : "" }, { "dropping-particle" : "", "family" : "Edwards", "given" : "M J", "non-dropping-particle" : "", "parse-names" : false, "suffix" : "" }, { "dropping-particle" : "", "family" : "Joyce", "given" : "E", "non-dropping-particle" : "", "parse-names" : false, "suffix" : "" } ], "container-title" : "J Neurol", "edition" : "2014/09/23", "genre" : "Journal Article", "id" : "ITEM-7", "issue" : "12", "issued" : { "date-parts" : [ [ "2014" ] ] }, "language" : "eng", "note" : "1432-1459\nDemartini, Benedetta\nBatla, Amit\nPetrochilos, Panayiota\nFisher, Linda\nEdwards, Mark J\nJoyce, Eileen\nJournal Article\nGermany\nJ Neurol. 2014 Dec;261(12):2370-7. doi: 10.1007/s00415-014-7495-4. Epub 2014 Sep 20.", "page" : "2370-2377", "title" : "Multidisciplinary treatment for functional neurological symptoms: a prospective study", "type" : "article-journal", "volume" : "261" }, "uris" : [ "http://www.mendeley.com/documents/?uuid=37f5a089-20a2-489f-9652-c7d8474a323d" ] }, { "id" : "ITEM-8", "itemData" : { "ISBN" : "1468-330X", "author" : [ { "dropping-particle" : "", "family" : "McCormack", "given" : "Ruaidhri", "non-dropping-particle" : "", "parse-names" : false, "suffix" : "" }, { "dropping-particle" : "", "family" : "Moriarty", "given" : "John", "non-dropping-particle" : "", "parse-names" : false, "suffix" : "" }, { "dropping-particle" : "", "family" : "Mellers", "given" : "John D", "non-dropping-particle" : "", "parse-names" : false, "suffix" : "" }, { "dropping-particle" : "", "family" : "Shotbolt", "given" : "Paul", "non-dropping-particle" : "", "parse-names" : false, "suffix" : "" }, { "dropping-particle" : "", "family" : "Pastena", "given" : "Rosa", "non-dropping-particle" : "", "parse-names" : false, "suffix" : "" }, { "dropping-particle" : "", "family" : "Landes", "given" : "Nadine", "non-dropping-particle" : "", "parse-names" : false, "suffix" : "" }, { "dropping-particle" : "", "family" : "Goldstein", "given" : "Laura", "non-dropping-particle" : "", "parse-names" : false, "suffix" : "" }, { "dropping-particle" : "", "family" : "Fleminger", "given" : "Simon", "non-dropping-particle" : "", "parse-names" : false, "suffix" : "" }, { "dropping-particle" : "", "family" : "David", "given" : "Anthony S", "non-dropping-particle" : "", "parse-names" : false, "suffix" : "" } ], "container-title" : "J Neurol Neurosurg Psychiatry", "genre" : "Journal Article", "id" : "ITEM-8", "issued" : { "date-parts" : [ [ "2013" ] ] }, "page" : "895-900", "title" : "Specialist inpatient treatment for severe motor conversion disorder: a retrospective comparative study", "type" : "article-journal", "volume" : "85" }, "uris" : [ "http://www.mendeley.com/documents/?uuid=7a233b83-38a5-4a9f-8f0b-88befc98d353" ] }, { "id" : "ITEM-9", "itemData" : { "DOI" : "10.1016/j.genhosppsych.2015.05.007", "ISBN" : "0163-8343", "PMID" : "26099544", "abstract" : "OBJECTIVE: The objective was to compare a brief interdisciplinary psychotherapeutic intervention to standard care as treatments for patients recently diagnosed with severe motor conversion disorder or nonepileptic attacks. METHODS: This randomized controlled trial of 23 consecutive patients compared (a) an interdisciplinary psychotherapeutic intervention group receiving four to six sessions by a consultation liaison psychiatrist, the first and last sessions adding a neurological consultation and a joint psychiatric and neurological consultation, and (b) a standard care group. After intervention, patients were assessed at 2, 6 and 12 months with the Somatoform Dissociation Questionnaire (SDQ-20), Clinical Global Impression scale, Rankin scale, use of medical care, global mental health [Montgomery and Asberg Depression Rating Scale, Beck Depression Inventory, mental health component of Short Form (SF)-36] and quality of life (SF-36). We calculated linear mixed models. RESULTS: Our intervention brought a statistically significant improvement of physical symptoms [as measured by the SDQ-20 (P&lt;.02) and the Clinical Global Impression scale (P=.02)] and psychological symptoms [better scores on the mental health component of the SF-36 (P&lt;.05) and on the Beck Depression Inventory (P&lt;.05)] and a reduction in new hospital stays after intervention (P&lt;.05). CONCLUSION: A brief psychotherapeutic intervention taking advantage of a close collaboration with neurology consultants in the setting of consultation liaison psychiatry appears effective.", "author" : [ { "dropping-particle" : "", "family" : "Hubschmid", "given" : "M", "non-dropping-particle" : "", "parse-names" : false, "suffix" : "" }, { "dropping-particle" : "", "family" : "Aybek", "given" : "S", "non-dropping-particle" : "", "parse-names" : false, "suffix" : "" }, { "dropping-particle" : "", "family" : "Maccaferri", "given" : "G E", "non-dropping-particle" : "", "parse-names" : false, "suffix" : "" }, { "dropping-particle" : "", "family" : "Chocron", "given" : "O", "non-dropping-particle" : "", "parse-names" : false, "suffix" : "" }, { "dropping-particle" : "", "family" : "Gholamrezaee", "given" : "M M", "non-dropping-particle" : "", "parse-names" : false, "suffix" : "" }, { "dropping-particle" : "", "family" : "Rossetti", "given" : "A O", "non-dropping-particle" : "", "parse-names" : false, "suffix" : "" }, { "dropping-particle" : "", "family" : "Vingerhoets", "given" : "F", "non-dropping-particle" : "", "parse-names" : false, "suffix" : "" }, { "dropping-particle" : "", "family" : "Berney", "given" : "A", "non-dropping-particle" : "", "parse-names" : false, "suffix" : "" } ], "container-title" : "Gen Hosp Psychiatry", "edition" : "2015/06/24", "genre" : "Journal Article", "id" : "ITEM-9", "issue" : "5", "issued" : { "date-parts" : [ [ "2015" ] ] }, "language" : "eng", "note" : "1873-7714\nHubschmid, M\nAybek, S\nMaccaferri, G E\nChocron, O\nGholamrezaee, M M\nRossetti, A O\nVingerhoets, F\nBerney, A\nJournal Article\nResearch Support, Non-U.S. Gov't\nUnited States\nGen Hosp Psychiatry. 2015 Sep-Oct;37(5):448-55. doi: 10.1016/j.genhosppsych.2015.05.007. Epub 2015 May 29.", "page" : "448-455", "title" : "Efficacy of brief interdisciplinary psychotherapeutic intervention for motor conversion disorder and nonepileptic attacks", "type" : "article-journal", "volume" : "37" }, "uris" : [ "http://www.mendeley.com/documents/?uuid=b20aad6b-ea28-46b0-b423-27fcf25f98bc" ] }, { "id" : "ITEM-10", "itemData" : { "DOI" : "10.1016/j.parkreldis.2013.09.018", "ISBN" : "1353-8020", "PMID" : "24120952", "abstract" : "OBJECTIVE: In subjects with psychogenic movement disorders (PMDs), we conducted a 6 month randomized, cross-over design study to assess the effect of 3 months of psychodynamic psychotherapy followed by observation by the neurologist vs. observation by the neurologist, then 3 months of psychiatric intervention. BACKGROUND: PMDs are often disabling but no uniformly successful treatment strategies have been identified. Short term, open label psychodynamic psychotherapy has been successful in improving PMDs but whether PMDs improve equally well with neurological observation and support has not been tested. DESIGN: Fifteen patients with PMDs were randomized to immediate vs. delayed (after 3 months) weekly psychodynamic psychotherapy for 12 weeks. During the phase without psychiatric intervention, they were monitored by the treating neurologist. Patients were assessed at baseline, 3 and 6 months. Change in their movement disorder was assessed using a clinical global impression scale change (CGI-c), depression and anxiety using the Hamilton Depression Scale (HAM-D) and Beck Anxiety Inventory (Beck-A). RESULTS: Fourteen women and one man, age 42.3 +/- 11, disease duration 63.2 +/- 73 months, were randomized to immediate (7 patients) or delayed (8 patients) treatment. Over the six month study, PMDs, depression and anxiety were significantly improved but time was the determinant factor without an independent effect of treatment assignment. CONCLUSION: In this group of PMD patients, where patients were kept within the medical system and involved in a research program, PMDs as well as depression and anxiety improved, but without specific benefit time-linked to psychotherapy as opposed to neurological observation and support.", "author" : [ { "dropping-particle" : "", "family" : "Kompoliti", "given" : "K", "non-dropping-particle" : "", "parse-names" : false, "suffix" : "" }, { "dropping-particle" : "", "family" : "Wilson", "given" : "B", "non-dropping-particle" : "", "parse-names" : false, "suffix" : "" }, { "dropping-particle" : "", "family" : "Stebbins", "given" : "G", "non-dropping-particle" : "", "parse-names" : false, "suffix" : "" }, { "dropping-particle" : "", "family" : "Bernard", "given" : "B", "non-dropping-particle" : "", "parse-names" : false, "suffix" : "" }, { "dropping-particle" : "", "family" : "Hinson", "given" : "V", "non-dropping-particle" : "", "parse-names" : false, "suffix" : "" } ], "container-title" : "Parkinsonism Relat Disord", "edition" : "2013/10/15", "genre" : "Journal Article", "id" : "ITEM-10", "issue" : "1", "issued" : { "date-parts" : [ [ "2014" ] ] }, "language" : "eng", "note" : "1873-5126\nKompoliti, Katie\nWilson, Burgess\nStebbins, Glenn\nBernard, Bryan\nHinson, Vanessa\nJournal Article\nRandomized Controlled Trial\nEngland\nParkinsonism Relat Disord. 2014 Jan;20(1):60-3. doi: 10.1016/j.parkreldis.2013.09.018. Epub 2013 Sep 22.", "page" : "60-63", "title" : "Immediate vs. delayed treatment of psychogenic movement disorders with short term psychodynamic psychotherapy: randomized clinical trial", "type" : "article-journal", "volume" : "20" }, "uris" : [ "http://www.mendeley.com/documents/?uuid=e1d7d3a9-ab9e-4b28-8300-c22bd0e9b9e3" ] }, { "id" : "ITEM-11", "itemData" : { "DOI" : "10.1016/j.jpsychores.2013.10.003", "ISBN" : "0022-3999", "PMID" : "24439694", "abstract" : "BACKGROUND: Patients with severe functional (psychogenic) neurological symptoms such as paralysis and fixed dystonia present a therapeutic challenge, particularly if no movement is possible during physiotherapy. Sedation has been discussed as a treatment for functional neurological symptoms for 100 years but technique, use of video and outcome has not been systematically described. METHODS: Therapeutic sedation of patients with severe functional neurological symptoms with propofol and follow up at a neuroscience centre. RESULTS: Of eleven patients (median duration 14 months), five were cured or had major improvement with sedation. At follow up (median 30 months) four were asymptomatic, two were significantly improved and one had minor improvements. We describe a standardized anesthetic and physician technique, refined over consecutive treatments. CONCLUSION: In carefully chosen patients, therapeutic sedation with propofol can be a useful adjunctive treatment for patients with severe functional neurological symptoms. The treatment deserves randomized evaluation.", "author" : [ { "dropping-particle" : "", "family" : "Stone", "given" : "J", "non-dropping-particle" : "", "parse-names" : false, "suffix" : "" }, { "dropping-particle" : "", "family" : "Hoeritzauer", "given" : "I", "non-dropping-particle" : "", "parse-names" : false, "suffix" : "" }, { "dropping-particle" : "", "family" : "Brown", "given" : "K", "non-dropping-particle" : "", "parse-names" : false, "suffix" : "" }, { "dropping-particle" : "", "family" : "Carson", "given" : "A", "non-dropping-particle" : "", "parse-names" : false, "suffix" : "" } ], "container-title" : "J Psychosom Res", "edition" : "2014/01/21", "genre" : "Journal Article", "id" : "ITEM-11", "issue" : "2", "issued" : { "date-parts" : [ [ "2014" ] ] }, "language" : "eng", "note" : "1879-1360\nStone, Jon\nHoeritzauer, Ingrid\nBrown, Kirsteen\nCarson, Alan\nJournal Article\nEngland\nJ Psychosom Res. 2014 Feb;76(2):165-8. doi: 10.1016/j.jpsychores.2013.10.003. Epub 2013 Oct 18.", "page" : "165-168", "title" : "Therapeutic sedation for functional (psychogenic) neurological symptoms", "type" : "article-journal", "volume" : "76" }, "uris" : [ "http://www.mendeley.com/documents/?uuid=bd6c9b28-d61b-4276-a5c5-82c8083a9266" ] } ], "mendeley" : { "formattedCitation" : "&lt;sup&gt;1\u201311&lt;/sup&gt;", "plainTextFormattedCitation" : "1\u201311", "previouslyFormattedCitation" : "&lt;sup&gt;1\u201311&lt;/sup&gt;" }, "properties" : { "noteIndex" : 0 }, "schema" : "https://github.com/citation-style-language/schema/raw/master/csl-citation.json" }</w:instrText>
      </w:r>
      <w:r w:rsidR="007559A9">
        <w:fldChar w:fldCharType="separate"/>
      </w:r>
      <w:r w:rsidR="00473993" w:rsidRPr="00473993">
        <w:rPr>
          <w:noProof/>
          <w:vertAlign w:val="superscript"/>
        </w:rPr>
        <w:t>1–11</w:t>
      </w:r>
      <w:r w:rsidR="007559A9">
        <w:fldChar w:fldCharType="end"/>
      </w:r>
      <w:r w:rsidR="007559A9">
        <w:t>. A significant limitation of this lite</w:t>
      </w:r>
      <w:r w:rsidR="0026279D">
        <w:t xml:space="preserve">rature is </w:t>
      </w:r>
      <w:r w:rsidR="0043749E">
        <w:t>a</w:t>
      </w:r>
      <w:r w:rsidR="0026279D">
        <w:t xml:space="preserve"> lack of consistency in the</w:t>
      </w:r>
      <w:r w:rsidR="007559A9">
        <w:t xml:space="preserve"> use of objective outcome measures. </w:t>
      </w:r>
    </w:p>
    <w:p w14:paraId="4174D2E2" w14:textId="0B463602" w:rsidR="007559A9" w:rsidRDefault="007559A9" w:rsidP="00CA6E1F">
      <w:r>
        <w:t>Measuring</w:t>
      </w:r>
      <w:r w:rsidR="00172D4C">
        <w:t xml:space="preserve"> outcome in FMD is problematic as </w:t>
      </w:r>
      <w:r w:rsidR="001A0DAD">
        <w:t>the illness</w:t>
      </w:r>
      <w:r w:rsidR="00172D4C">
        <w:t xml:space="preserve"> experience varies considerably between individuals. </w:t>
      </w:r>
      <w:r>
        <w:t xml:space="preserve">Patients can experience problems in </w:t>
      </w:r>
      <w:r w:rsidR="001A0DAD">
        <w:t>physical,</w:t>
      </w:r>
      <w:r>
        <w:t xml:space="preserve"> psychological and</w:t>
      </w:r>
      <w:r w:rsidR="00BD3901">
        <w:t xml:space="preserve"> </w:t>
      </w:r>
      <w:r w:rsidR="00172D4C">
        <w:t>or</w:t>
      </w:r>
      <w:r>
        <w:t xml:space="preserve"> social domains</w:t>
      </w:r>
      <w:r w:rsidR="00172D4C">
        <w:t xml:space="preserve">. Multiple comorbidities may account for differing proportions of an individual’s </w:t>
      </w:r>
      <w:r w:rsidR="001A0DAD">
        <w:t>illness</w:t>
      </w:r>
      <w:r w:rsidR="00172D4C">
        <w:t xml:space="preserve"> burden, such as migraine, chronic pain, chronic fatigue, bladder and bow</w:t>
      </w:r>
      <w:r w:rsidR="001A0DAD">
        <w:t>e</w:t>
      </w:r>
      <w:r w:rsidR="00172D4C">
        <w:t xml:space="preserve">l symptoms, anxiety and depression. </w:t>
      </w:r>
      <w:r w:rsidR="000A619F">
        <w:t>I</w:t>
      </w:r>
      <w:r w:rsidR="00172D4C">
        <w:t xml:space="preserve">n addition, </w:t>
      </w:r>
      <w:r w:rsidR="000A619F">
        <w:t xml:space="preserve">the severity of </w:t>
      </w:r>
      <w:r w:rsidR="00172D4C">
        <w:t>functional motor symptom</w:t>
      </w:r>
      <w:r w:rsidR="006D1B51">
        <w:t>s are inherently variable</w:t>
      </w:r>
      <w:r w:rsidR="00172D4C">
        <w:t xml:space="preserve">, making ‘snap-shot’ measures potentially unreliable. </w:t>
      </w:r>
    </w:p>
    <w:p w14:paraId="4DA64017" w14:textId="6FB9B693" w:rsidR="008E1CAA" w:rsidRDefault="008E1CAA" w:rsidP="008E1CAA">
      <w:r w:rsidRPr="000753EE">
        <w:t>The P</w:t>
      </w:r>
      <w:r w:rsidR="000616EF">
        <w:t xml:space="preserve">sychogenic </w:t>
      </w:r>
      <w:r w:rsidRPr="000753EE">
        <w:t>M</w:t>
      </w:r>
      <w:r w:rsidR="000616EF">
        <w:t xml:space="preserve">ovement </w:t>
      </w:r>
      <w:r w:rsidRPr="000753EE">
        <w:t>D</w:t>
      </w:r>
      <w:r w:rsidR="000616EF">
        <w:t xml:space="preserve">isorders </w:t>
      </w:r>
      <w:r w:rsidRPr="000753EE">
        <w:t>R</w:t>
      </w:r>
      <w:r w:rsidR="000616EF">
        <w:t xml:space="preserve">ating </w:t>
      </w:r>
      <w:r w:rsidRPr="000753EE">
        <w:t>S</w:t>
      </w:r>
      <w:r w:rsidR="000616EF">
        <w:t>cale</w:t>
      </w:r>
      <w:r w:rsidRPr="000753EE">
        <w:t xml:space="preserve"> </w:t>
      </w:r>
      <w:r w:rsidR="00F754A1">
        <w:t xml:space="preserve">(PMDRS) </w:t>
      </w:r>
      <w:r w:rsidRPr="000753EE">
        <w:t xml:space="preserve">is one of very few outcome measures specifically designed for </w:t>
      </w:r>
      <w:r w:rsidR="000616EF">
        <w:t>FMD</w:t>
      </w:r>
      <w:r w:rsidR="007B33EA">
        <w:fldChar w:fldCharType="begin" w:fldLock="1"/>
      </w:r>
      <w:r w:rsidR="00DF4C79">
        <w:instrText>ADDIN CSL_CITATION { "citationItems" : [ { "id" : "ITEM-1", "itemData" : { "DOI" : "10.1002/mds.20650", "ISBN" : "0885-3185 (Print)\r0885-3185 (Linking)", "PMID" : "16108025", "abstract" : "We developed and tested the clinimetric properties of a scale for psychogenic movement disorders (PMDs). PMDs are disabling but lack any generally accepted treatment strategies. To develop treatments, means of assessing disease severity must be provided. No scale to assess PMDs existed. The PMD scale developed here rates 10 phenomena (rest tremor, action tremor, dystonia, chorea, bradykinesia, myoclonus, tics, athetosis, ballism, cerebellar incoordination), 2 functions (gait, speech), and 14 body regions. To study interrater agreement, three movement disorder neurologists independently rated 88 videotapes of PMD patients. Data analysis was performed using a kappa coefficient of agreement, Kendall's coefficient of concordance, Spearman correlations, and intraclass correlation coefficients. Validity and scale responsiveness were tested as well. All phenomena and speech and gait dysfunction occurred in the patient sample. A wide range of affected body regions, severity, and incapacitation was captured. Ratings showed excellent interrater reliability for presence or absence of each phenomenon (kappa range, 0.63 to 0.86). Kendall's concordance coefficients for phenomenology, function, and total PMD scores were 0.92, 0.93, and 0.91. Spearman correlations between raters ranged from 0.86 to 0.90. The scale was responsive to changes that occurred as a result of a neuropsychiatric intervention. The PMD scale adequately captures the complex movements of PMDs and can be used to assess PMDs and test the efficacy of intervention strategies.", "author" : [ { "dropping-particle" : "", "family" : "Hinson", "given" : "V K", "non-dropping-particle" : "", "parse-names" : false, "suffix" : "" }, { "dropping-particle" : "", "family" : "Cubo", "given" : "E", "non-dropping-particle" : "", "parse-names" : false, "suffix" : "" }, { "dropping-particle" : "", "family" : "Comella", "given" : "C L", "non-dropping-particle" : "", "parse-names" : false, "suffix" : "" }, { "dropping-particle" : "", "family" : "Goetz", "given" : "C G", "non-dropping-particle" : "", "parse-names" : false, "suffix" : "" }, { "dropping-particle" : "", "family" : "Leurgans", "given" : "S", "non-dropping-particle" : "", "parse-names" : false, "suffix" : "" } ], "container-title" : "Mov Disord", "genre" : "Journal Article", "id" : "ITEM-1", "issue" : "12", "issued" : { "date-parts" : [ [ "2005" ] ] }, "note" : "Hinson, Vanessa K\nCubo, Esther\nComella, Cynthia L\nGoetz, Christopher G\nLeurgans, Sue\neng\nComparative Study\n2005/08/19 09:00\nMov Disord. 2005 Dec;20(12):1592-7.", "page" : "1592-1597", "title" : "Rating scale for psychogenic movement disorders: scale development and clinimetric testing", "type" : "article-journal", "volume" : "20" }, "uris" : [ "http://www.mendeley.com/documents/?uuid=fe4d4ff3-0a9a-4114-8b5b-71219d36cd67" ] } ], "mendeley" : { "formattedCitation" : "&lt;sup&gt;12&lt;/sup&gt;", "plainTextFormattedCitation" : "12", "previouslyFormattedCitation" : "&lt;sup&gt;12&lt;/sup&gt;" }, "properties" : { "noteIndex" : 0 }, "schema" : "https://github.com/citation-style-language/schema/raw/master/csl-citation.json" }</w:instrText>
      </w:r>
      <w:r w:rsidR="007B33EA">
        <w:fldChar w:fldCharType="separate"/>
      </w:r>
      <w:r w:rsidR="007B33EA" w:rsidRPr="007B33EA">
        <w:rPr>
          <w:noProof/>
          <w:vertAlign w:val="superscript"/>
        </w:rPr>
        <w:t>12</w:t>
      </w:r>
      <w:r w:rsidR="007B33EA">
        <w:fldChar w:fldCharType="end"/>
      </w:r>
      <w:r w:rsidR="007B33EA">
        <w:t>.</w:t>
      </w:r>
      <w:r w:rsidR="00F754A1">
        <w:t xml:space="preserve"> It</w:t>
      </w:r>
      <w:r w:rsidR="008413F0">
        <w:t xml:space="preserve"> aims to provide</w:t>
      </w:r>
      <w:r w:rsidR="00F754A1">
        <w:t xml:space="preserve"> a </w:t>
      </w:r>
      <w:r w:rsidR="0048063E">
        <w:t xml:space="preserve">snap-shot </w:t>
      </w:r>
      <w:r w:rsidR="00315D62">
        <w:t xml:space="preserve">symptom </w:t>
      </w:r>
      <w:r w:rsidR="00F754A1">
        <w:t>severity score and provide information on phenomenology, anatomical distribution, duration and functional impact of abnormal movement</w:t>
      </w:r>
      <w:r w:rsidRPr="000753EE">
        <w:t>.</w:t>
      </w:r>
      <w:r>
        <w:t xml:space="preserve"> The creators of this scale found it to have excellent inter-rater reliability, good sensitivity and </w:t>
      </w:r>
      <w:r w:rsidR="008413F0">
        <w:t xml:space="preserve">good </w:t>
      </w:r>
      <w:r>
        <w:t xml:space="preserve">construct </w:t>
      </w:r>
      <w:proofErr w:type="spellStart"/>
      <w:r>
        <w:t>validity</w:t>
      </w:r>
      <w:proofErr w:type="spellEnd"/>
      <w:r w:rsidR="008413F0">
        <w:fldChar w:fldCharType="begin" w:fldLock="1"/>
      </w:r>
      <w:r w:rsidR="00DF4C79">
        <w:instrText>ADDIN CSL_CITATION { "citationItems" : [ { "id" : "ITEM-1", "itemData" : { "DOI" : "10.1002/mds.20650", "ISBN" : "0885-3185 (Print)\r0885-3185 (Linking)", "PMID" : "16108025", "abstract" : "We developed and tested the clinimetric properties of a scale for psychogenic movement disorders (PMDs). PMDs are disabling but lack any generally accepted treatment strategies. To develop treatments, means of assessing disease severity must be provided. No scale to assess PMDs existed. The PMD scale developed here rates 10 phenomena (rest tremor, action tremor, dystonia, chorea, bradykinesia, myoclonus, tics, athetosis, ballism, cerebellar incoordination), 2 functions (gait, speech), and 14 body regions. To study interrater agreement, three movement disorder neurologists independently rated 88 videotapes of PMD patients. Data analysis was performed using a kappa coefficient of agreement, Kendall's coefficient of concordance, Spearman correlations, and intraclass correlation coefficients. Validity and scale responsiveness were tested as well. All phenomena and speech and gait dysfunction occurred in the patient sample. A wide range of affected body regions, severity, and incapacitation was captured. Ratings showed excellent interrater reliability for presence or absence of each phenomenon (kappa range, 0.63 to 0.86). Kendall's concordance coefficients for phenomenology, function, and total PMD scores were 0.92, 0.93, and 0.91. Spearman correlations between raters ranged from 0.86 to 0.90. The scale was responsive to changes that occurred as a result of a neuropsychiatric intervention. The PMD scale adequately captures the complex movements of PMDs and can be used to assess PMDs and test the efficacy of intervention strategies.", "author" : [ { "dropping-particle" : "", "family" : "Hinson", "given" : "V K", "non-dropping-particle" : "", "parse-names" : false, "suffix" : "" }, { "dropping-particle" : "", "family" : "Cubo", "given" : "E", "non-dropping-particle" : "", "parse-names" : false, "suffix" : "" }, { "dropping-particle" : "", "family" : "Comella", "given" : "C L", "non-dropping-particle" : "", "parse-names" : false, "suffix" : "" }, { "dropping-particle" : "", "family" : "Goetz", "given" : "C G", "non-dropping-particle" : "", "parse-names" : false, "suffix" : "" }, { "dropping-particle" : "", "family" : "Leurgans", "given" : "S", "non-dropping-particle" : "", "parse-names" : false, "suffix" : "" } ], "container-title" : "Mov Disord", "genre" : "Journal Article", "id" : "ITEM-1", "issue" : "12", "issued" : { "date-parts" : [ [ "2005" ] ] }, "note" : "Hinson, Vanessa K\nCubo, Esther\nComella, Cynthia L\nGoetz, Christopher G\nLeurgans, Sue\neng\nComparative Study\n2005/08/19 09:00\nMov Disord. 2005 Dec;20(12):1592-7.", "page" : "1592-1597", "title" : "Rating scale for psychogenic movement disorders: scale development and clinimetric testing", "type" : "article-journal", "volume" : "20" }, "uris" : [ "http://www.mendeley.com/documents/?uuid=fe4d4ff3-0a9a-4114-8b5b-71219d36cd67" ] } ], "mendeley" : { "formattedCitation" : "&lt;sup&gt;12&lt;/sup&gt;", "plainTextFormattedCitation" : "12", "previouslyFormattedCitation" : "&lt;sup&gt;12&lt;/sup&gt;" }, "properties" : { "noteIndex" : 0 }, "schema" : "https://github.com/citation-style-language/schema/raw/master/csl-citation.json" }</w:instrText>
      </w:r>
      <w:r w:rsidR="008413F0">
        <w:fldChar w:fldCharType="separate"/>
      </w:r>
      <w:r w:rsidR="00473993" w:rsidRPr="00473993">
        <w:rPr>
          <w:noProof/>
          <w:vertAlign w:val="superscript"/>
        </w:rPr>
        <w:t>12</w:t>
      </w:r>
      <w:r w:rsidR="008413F0">
        <w:fldChar w:fldCharType="end"/>
      </w:r>
      <w:r w:rsidR="008413F0">
        <w:t xml:space="preserve">. </w:t>
      </w:r>
      <w:r>
        <w:t xml:space="preserve">Scoring works by identifying </w:t>
      </w:r>
      <w:r w:rsidR="001A0DAD">
        <w:t xml:space="preserve">the </w:t>
      </w:r>
      <w:r>
        <w:t>movement</w:t>
      </w:r>
      <w:r w:rsidR="00F754A1">
        <w:t xml:space="preserve"> abnormality in 14 body regions;</w:t>
      </w:r>
      <w:r>
        <w:t xml:space="preserve"> classifying the abnormal movement as one of 10 movement disorder phenomena (resting </w:t>
      </w:r>
      <w:r w:rsidR="00F754A1">
        <w:t xml:space="preserve">tremor, dystonia, chorea, </w:t>
      </w:r>
      <w:proofErr w:type="spellStart"/>
      <w:r w:rsidR="0043749E">
        <w:t>athetosis</w:t>
      </w:r>
      <w:proofErr w:type="spellEnd"/>
      <w:r w:rsidR="0043749E">
        <w:t xml:space="preserve">, </w:t>
      </w:r>
      <w:r w:rsidR="00F754A1">
        <w:t>etc.);</w:t>
      </w:r>
      <w:r>
        <w:t xml:space="preserve"> then scoring the movement according to perceived severity, duration</w:t>
      </w:r>
      <w:r w:rsidR="0048063E">
        <w:t xml:space="preserve"> </w:t>
      </w:r>
      <w:r>
        <w:t xml:space="preserve">and incapacitation. Gait and speech are also scored according to </w:t>
      </w:r>
      <w:r w:rsidR="00F754A1">
        <w:t>severity, duration and incapacitation</w:t>
      </w:r>
      <w:r>
        <w:t>.</w:t>
      </w:r>
      <w:r w:rsidR="0048063E">
        <w:t xml:space="preserve"> Scoring is based on 0-4 ordinal scale</w:t>
      </w:r>
      <w:r w:rsidR="00315D62">
        <w:t>s</w:t>
      </w:r>
      <w:r w:rsidR="0048063E">
        <w:t>.</w:t>
      </w:r>
      <w:r>
        <w:t xml:space="preserve"> </w:t>
      </w:r>
      <w:r w:rsidR="0048063E">
        <w:t>S</w:t>
      </w:r>
      <w:r>
        <w:t>cores are added together with a global inc</w:t>
      </w:r>
      <w:r w:rsidR="00F754A1">
        <w:t>apacitation and severity score. See figure 1 for PMDRS scoring table.</w:t>
      </w:r>
    </w:p>
    <w:p w14:paraId="60CA29FC" w14:textId="7EDF0CA1" w:rsidR="00A32056" w:rsidRDefault="0048063E" w:rsidP="00A32056">
      <w:r>
        <w:t xml:space="preserve">We </w:t>
      </w:r>
      <w:r w:rsidR="001A0DAD">
        <w:t xml:space="preserve">believe that </w:t>
      </w:r>
      <w:r>
        <w:t>a number of features limit the usefulness of the</w:t>
      </w:r>
      <w:r w:rsidR="006C7076">
        <w:t xml:space="preserve"> PMDRS</w:t>
      </w:r>
      <w:r>
        <w:t xml:space="preserve">. </w:t>
      </w:r>
      <w:r w:rsidR="00657458">
        <w:t>The scale excludes functional weakness, one of the most common functional neurological symptom</w:t>
      </w:r>
      <w:r w:rsidR="0043749E">
        <w:t>s</w:t>
      </w:r>
      <w:r w:rsidR="00657458">
        <w:t>.</w:t>
      </w:r>
      <w:r w:rsidR="006C7076">
        <w:t xml:space="preserve"> This may be a pragmatic decision based on the difficulty assessing weakness by observation, or </w:t>
      </w:r>
      <w:r w:rsidR="00000C5C">
        <w:t xml:space="preserve">related to </w:t>
      </w:r>
      <w:r w:rsidR="006C7076">
        <w:t>a</w:t>
      </w:r>
      <w:r w:rsidR="00000C5C">
        <w:t xml:space="preserve"> purist definition of ‘movement disorder’ that does not include weakness. </w:t>
      </w:r>
      <w:r w:rsidR="001A0DAD">
        <w:t>However, w</w:t>
      </w:r>
      <w:r w:rsidR="00000C5C">
        <w:t>e would argue that patients</w:t>
      </w:r>
      <w:r w:rsidR="006D1B51">
        <w:t xml:space="preserve"> with functional weakness as the</w:t>
      </w:r>
      <w:r w:rsidR="00000C5C">
        <w:t xml:space="preserve"> dominant symptom share a common aetiology with other functional motor symptoms and that weakness is part of the symptom burden </w:t>
      </w:r>
      <w:r w:rsidR="001A0DAD">
        <w:t>of many with</w:t>
      </w:r>
      <w:r w:rsidR="00000C5C">
        <w:t xml:space="preserve"> FMD</w:t>
      </w:r>
      <w:r w:rsidR="001A0DAD">
        <w:t xml:space="preserve">. </w:t>
      </w:r>
      <w:r w:rsidR="00000C5C">
        <w:t>The PMDRS</w:t>
      </w:r>
      <w:r w:rsidR="008E1CAA">
        <w:t xml:space="preserve"> assumes high level expertise in movement disorders in order to classify movement phenomena</w:t>
      </w:r>
      <w:r>
        <w:t xml:space="preserve">. It is therefore </w:t>
      </w:r>
      <w:r w:rsidR="00000C5C">
        <w:t>likely</w:t>
      </w:r>
      <w:r w:rsidR="00BD3901">
        <w:t xml:space="preserve"> </w:t>
      </w:r>
      <w:r w:rsidR="008E1CAA">
        <w:t>that the high inter</w:t>
      </w:r>
      <w:r w:rsidR="00BD3901">
        <w:t>-</w:t>
      </w:r>
      <w:r w:rsidR="008E1CAA">
        <w:t xml:space="preserve">rater reliability reported by Hinson et al may not be </w:t>
      </w:r>
      <w:proofErr w:type="spellStart"/>
      <w:r w:rsidR="008E1CAA">
        <w:t>gene</w:t>
      </w:r>
      <w:r w:rsidR="00F754A1">
        <w:t>ralis</w:t>
      </w:r>
      <w:r w:rsidR="008E1CAA">
        <w:t>able</w:t>
      </w:r>
      <w:proofErr w:type="spellEnd"/>
      <w:r w:rsidR="008E1CAA">
        <w:t xml:space="preserve"> to </w:t>
      </w:r>
      <w:r w:rsidR="001A0DAD">
        <w:t xml:space="preserve">health professionals </w:t>
      </w:r>
      <w:r w:rsidR="00BD3901">
        <w:t>other than</w:t>
      </w:r>
      <w:r w:rsidR="000A619F">
        <w:t xml:space="preserve"> experienced</w:t>
      </w:r>
      <w:r w:rsidR="00BD3901">
        <w:t xml:space="preserve"> movement disorder specialist</w:t>
      </w:r>
      <w:r w:rsidR="000A619F">
        <w:t>s</w:t>
      </w:r>
      <w:r w:rsidR="001A0DAD">
        <w:t xml:space="preserve">, while treatment (and </w:t>
      </w:r>
      <w:r w:rsidR="001A0DAD">
        <w:lastRenderedPageBreak/>
        <w:t>therefore objective assessment) is likely to be performed by physiotherapists, occupational therapists and psychologists</w:t>
      </w:r>
      <w:r w:rsidR="000A619F">
        <w:t>.</w:t>
      </w:r>
      <w:r w:rsidR="008E1CAA">
        <w:t xml:space="preserve"> </w:t>
      </w:r>
      <w:r w:rsidR="001A0DAD">
        <w:t>In any case, t</w:t>
      </w:r>
      <w:r w:rsidR="008E1CAA">
        <w:t xml:space="preserve">he categories of movement disorder used in the scale are defined by their association with neurological disease and are therefore arguably not </w:t>
      </w:r>
      <w:r w:rsidR="001A0DAD">
        <w:t xml:space="preserve">very </w:t>
      </w:r>
      <w:r w:rsidR="008E1CAA">
        <w:t>relevant to movement impairment due</w:t>
      </w:r>
      <w:r w:rsidR="00A8619C">
        <w:t xml:space="preserve"> to</w:t>
      </w:r>
      <w:r w:rsidR="008E1CAA">
        <w:t xml:space="preserve"> </w:t>
      </w:r>
      <w:r w:rsidR="00657458">
        <w:t>FMD</w:t>
      </w:r>
      <w:r w:rsidR="008E1CAA">
        <w:t>.</w:t>
      </w:r>
      <w:r w:rsidR="00F754A1">
        <w:t xml:space="preserve"> </w:t>
      </w:r>
      <w:r w:rsidR="000A619F">
        <w:t>Symptoms of FMD</w:t>
      </w:r>
      <w:r w:rsidR="008E1CAA">
        <w:t xml:space="preserve"> may resemble movement disor</w:t>
      </w:r>
      <w:r>
        <w:t>der due to organic disease, however</w:t>
      </w:r>
      <w:r w:rsidR="00657458">
        <w:t xml:space="preserve"> repeated </w:t>
      </w:r>
      <w:r w:rsidR="008E1CAA">
        <w:t>kinematic analysis</w:t>
      </w:r>
      <w:r>
        <w:t xml:space="preserve"> of FMD</w:t>
      </w:r>
      <w:r w:rsidR="008E1CAA">
        <w:t xml:space="preserve"> </w:t>
      </w:r>
      <w:r w:rsidR="00657458">
        <w:t xml:space="preserve">has </w:t>
      </w:r>
      <w:r w:rsidR="008E1CAA">
        <w:t xml:space="preserve">shown inconsistency in the movement </w:t>
      </w:r>
      <w:proofErr w:type="spellStart"/>
      <w:r w:rsidR="008E1CAA">
        <w:t>pattern</w:t>
      </w:r>
      <w:proofErr w:type="spellEnd"/>
      <w:r w:rsidR="00A32056">
        <w:fldChar w:fldCharType="begin" w:fldLock="1"/>
      </w:r>
      <w:r w:rsidR="00473993">
        <w:instrText>ADDIN CSL_CITATION { "citationItems" : [ { "id" : "ITEM-1", "itemData" : { "ISSN" : "03935264", "PMID" : "23597435", "abstract" : "Fluctuation is a common feature of all psychogenic gait disorder (PGD) patterns. Whether this fluctuation involves only the degree of impairment or whether it affects the gait pattern itself remains an interesting question. We hypothesize that, on repeated measurements, both normal and abnormal gait may present quantitative differences while maintaining their basic underlying pattern; conversely, in psychogenic gait, the basic pattern appears not to be preserved. Using an optoelectronic system, data acquired from 19 normal subjects and 66 patients were applied to train a neural network (NN) and subsequently classify gait patterns into four different groups (normal, ataxic, spastic-paraparetic and parkinsonian). Five patients who fulfilled clinical criteria for psychogenic gait and six controls were then prospectively evaluated on two separate occasions, three months apart. Normal controls and ataxic, parkinsonian or spastic patients were correctly identified by the NN, and categorized within the corresponding groups at baseline as well as at a three-month follow-up evaluation. NN analysis showed that after three months, no PGD patient preserved the gait pattern detected at baseline, even though this finding was not clinically apparent. Modification of gait pattern detected by repeated kinematic measurement and NN analysis could suggest the presence of PGD, particularly in difficult-to-diagnose cases.", "author" : [ { "dropping-particle" : "", "family" : "Merello", "given" : "Marcelo", "non-dropping-particle" : "", "parse-names" : false, "suffix" : "" }, { "dropping-particle" : "", "family" : "Ballesteros", "given" : "Diego", "non-dropping-particle" : "", "parse-names" : false, "suffix" : "" }, { "dropping-particle" : "", "family" : "Rossi", "given" : "Malco", "non-dropping-particle" : "", "parse-names" : false, "suffix" : "" }, { "dropping-particle" : "", "family" : "Arena", "given" : "Julieta", "non-dropping-particle" : "", "parse-names" : false, "suffix" : "" }, { "dropping-particle" : "", "family" : "Crespo", "given" : "Marcos", "non-dropping-particle" : "", "parse-names" : false, "suffix" : "" }, { "dropping-particle" : "", "family" : "Cervio", "given" : "Andres", "non-dropping-particle" : "", "parse-names" : false, "suffix" : "" }, { "dropping-particle" : "", "family" : "Oderiz", "given" : "Carolina Cuello", "non-dropping-particle" : "", "parse-names" : false, "suffix" : "" }, { "dropping-particle" : "", "family" : "Rivero", "given" : "Alberto", "non-dropping-particle" : "", "parse-names" : false, "suffix" : "" }, { "dropping-particle" : "", "family" : "Cerquetti", "given" : "Daniel", "non-dropping-particle" : "", "parse-names" : false, "suffix" : "" }, { "dropping-particle" : "", "family" : "Risk", "given" : "Marcelo", "non-dropping-particle" : "", "parse-names" : false, "suffix" : "" }, { "dropping-particle" : "", "family" : "Balej", "given" : "Jorge", "non-dropping-particle" : "", "parse-names" : false, "suffix" : "" } ], "container-title" : "Functional Neurology", "id" : "ITEM-1", "issue" : "4", "issued" : { "date-parts" : [ [ "2012" ] ] }, "page" : "217-224", "title" : "Lack of maintenance of gait pattern as measured by instrumental methods suggests psychogenic gait", "type" : "article-journal", "volume" : "27" }, "uris" : [ "http://www.mendeley.com/documents/?uuid=6fbbd1e4-f516-4b3d-874e-9cd6e369b8ec" ] } ], "mendeley" : { "formattedCitation" : "&lt;sup&gt;13&lt;/sup&gt;", "plainTextFormattedCitation" : "13", "previouslyFormattedCitation" : "&lt;sup&gt;13&lt;/sup&gt;" }, "properties" : { "noteIndex" : 0 }, "schema" : "https://github.com/citation-style-language/schema/raw/master/csl-citation.json" }</w:instrText>
      </w:r>
      <w:r w:rsidR="00A32056">
        <w:fldChar w:fldCharType="separate"/>
      </w:r>
      <w:r w:rsidR="00473993" w:rsidRPr="00473993">
        <w:rPr>
          <w:noProof/>
          <w:vertAlign w:val="superscript"/>
        </w:rPr>
        <w:t>13</w:t>
      </w:r>
      <w:r w:rsidR="00A32056">
        <w:fldChar w:fldCharType="end"/>
      </w:r>
      <w:r w:rsidR="008E1CAA">
        <w:t>, which throws into question the usefulness</w:t>
      </w:r>
      <w:r w:rsidR="00875BA9">
        <w:t xml:space="preserve"> and reliability</w:t>
      </w:r>
      <w:r w:rsidR="008E1CAA">
        <w:t xml:space="preserve"> of </w:t>
      </w:r>
      <w:r>
        <w:t xml:space="preserve">highly specific </w:t>
      </w:r>
      <w:r w:rsidR="008E1CAA">
        <w:t>categorisation</w:t>
      </w:r>
      <w:r w:rsidR="00875BA9">
        <w:t>.</w:t>
      </w:r>
      <w:r w:rsidR="00A32056">
        <w:t xml:space="preserve"> </w:t>
      </w:r>
      <w:r w:rsidR="000A619F">
        <w:t>T</w:t>
      </w:r>
      <w:r w:rsidR="008E1CAA">
        <w:t>he</w:t>
      </w:r>
      <w:r w:rsidR="00875BA9">
        <w:t xml:space="preserve"> symptom severity score</w:t>
      </w:r>
      <w:r w:rsidR="008E1CAA">
        <w:t xml:space="preserve"> range</w:t>
      </w:r>
      <w:r w:rsidR="00B20B3A">
        <w:t>s</w:t>
      </w:r>
      <w:r w:rsidR="008E1CAA">
        <w:t xml:space="preserve"> from 0-4 (none, minimal, mild, moderate, severe)</w:t>
      </w:r>
      <w:r w:rsidR="001A0DAD">
        <w:t>, but the</w:t>
      </w:r>
      <w:r w:rsidR="008E1CAA">
        <w:t xml:space="preserve"> difference between minimal and mild is unclear</w:t>
      </w:r>
      <w:r w:rsidR="001A0DAD">
        <w:t xml:space="preserve"> in our opinion</w:t>
      </w:r>
      <w:r w:rsidR="008E1CAA">
        <w:t>.</w:t>
      </w:r>
      <w:r w:rsidR="00B20B3A" w:rsidRPr="00B20B3A">
        <w:t xml:space="preserve"> </w:t>
      </w:r>
      <w:r w:rsidR="00B20B3A">
        <w:t xml:space="preserve">We </w:t>
      </w:r>
      <w:r w:rsidR="001A0DAD">
        <w:t xml:space="preserve">also </w:t>
      </w:r>
      <w:r w:rsidR="00B20B3A">
        <w:t xml:space="preserve">question the usefulness of the incapacitation score. Incapacity was defined as “how functionally relevant the </w:t>
      </w:r>
      <w:r w:rsidR="00657458">
        <w:t>observed abnormal movement is”. It is not clear how this can be differentiated from severity, nor judged by a discrete observation</w:t>
      </w:r>
      <w:r w:rsidR="002D2F4B">
        <w:t xml:space="preserve"> </w:t>
      </w:r>
      <w:r w:rsidR="001A0DAD">
        <w:t>without observation of performance during functional tasks</w:t>
      </w:r>
      <w:r w:rsidR="00657458">
        <w:t xml:space="preserve">. </w:t>
      </w:r>
    </w:p>
    <w:p w14:paraId="66C73094" w14:textId="4C30B549" w:rsidR="009D3C2D" w:rsidRDefault="009D3C2D" w:rsidP="008E1CAA">
      <w:r>
        <w:t xml:space="preserve">To address </w:t>
      </w:r>
      <w:r w:rsidR="003D1889">
        <w:t xml:space="preserve">some of </w:t>
      </w:r>
      <w:r w:rsidR="001A0DAD">
        <w:t xml:space="preserve">these </w:t>
      </w:r>
      <w:r>
        <w:t xml:space="preserve">concerns with the PMDRS, we </w:t>
      </w:r>
      <w:r w:rsidR="001A0DAD">
        <w:t xml:space="preserve">developed a </w:t>
      </w:r>
      <w:r>
        <w:t>simplified version</w:t>
      </w:r>
      <w:r w:rsidR="006862D7">
        <w:t>,</w:t>
      </w:r>
      <w:r w:rsidR="004A4DC5">
        <w:t xml:space="preserve"> and</w:t>
      </w:r>
      <w:r w:rsidR="00C00BC5">
        <w:t xml:space="preserve"> compared the</w:t>
      </w:r>
      <w:r w:rsidR="006D79F3">
        <w:t xml:space="preserve"> inter-rater reliability and criterion </w:t>
      </w:r>
      <w:r w:rsidR="00C00BC5">
        <w:t>related validity to the original scale.</w:t>
      </w:r>
      <w:r w:rsidR="007F7FBF">
        <w:t xml:space="preserve"> In addition, we piloted the simplified scale in a feasibility study of physiotherapy for FMD.</w:t>
      </w:r>
      <w:r w:rsidR="000B5A74">
        <w:t xml:space="preserve"> I</w:t>
      </w:r>
      <w:r w:rsidR="000B5A74" w:rsidRPr="000B5A74">
        <w:rPr>
          <w:lang w:val="en-US"/>
        </w:rPr>
        <w:t xml:space="preserve">n line with recent suggested changes in </w:t>
      </w:r>
      <w:proofErr w:type="spellStart"/>
      <w:r w:rsidR="000B5A74" w:rsidRPr="000B5A74">
        <w:rPr>
          <w:lang w:val="en-US"/>
        </w:rPr>
        <w:t>terminology</w:t>
      </w:r>
      <w:proofErr w:type="spellEnd"/>
      <w:r w:rsidR="000B5A74">
        <w:rPr>
          <w:lang w:val="en-US"/>
        </w:rPr>
        <w:fldChar w:fldCharType="begin" w:fldLock="1"/>
      </w:r>
      <w:r w:rsidR="007B33EA">
        <w:rPr>
          <w:lang w:val="en-US"/>
        </w:rPr>
        <w:instrText>ADDIN CSL_CITATION { "citationItems" : [ { "id" : "ITEM-1", "itemData" : { "DOI" : "10.1002/mds.25562", "ISBN" : "1531-8257 (Electronic)\\r0885-3185 (Linking)", "ISSN" : "15318257", "PMID" : "23843209", "abstract" : "Successive attempts at rebranding may be behind at least some of the proliferation of terms we have at our disposal when describing patients with what are now most often referred to as \"psychogenic,\" \"conversion,\" or \"somatoform\" symptoms. The most popular term in the movement disorder literature, \"psychogenic,\" provides the aetiology of the disorder within the name, indicating that the symptoms are \"born of the mind.\" Here we argue that it is logical to stop using a term that defines the disorder with regard to a poorly defined aetiology that is not supported by current evidence, and, instead, to use a broad term-functional-not as a \"polite eponym\" but as a term that is freer from such assumptions and does not reinforce dualistic thinking. The main argument for change is not political or even practical, but scientific. \u00a9 2013 International Parkinson and Movement Disorder Society.", "author" : [ { "dropping-particle" : "", "family" : "Edwards", "given" : "Mark J.", "non-dropping-particle" : "", "parse-names" : false, "suffix" : "" }, { "dropping-particle" : "", "family" : "Stone", "given" : "Jon", "non-dropping-particle" : "", "parse-names" : false, "suffix" : "" }, { "dropping-particle" : "", "family" : "Lang", "given" : "Anthony E.", "non-dropping-particle" : "", "parse-names" : false, "suffix" : "" } ], "container-title" : "Movement Disorders", "id" : "ITEM-1", "issue" : "7", "issued" : { "date-parts" : [ [ "2014" ] ] }, "page" : "849-852", "title" : "From psychogenic movement disorder to functional movement disorder: It's time to change the name", "type" : "article-journal", "volume" : "29" }, "uris" : [ "http://www.mendeley.com/documents/?uuid=09f777ea-4d8c-48ed-9ebc-cc4ceb7fe1ab" ] } ], "mendeley" : { "formattedCitation" : "&lt;sup&gt;14&lt;/sup&gt;", "plainTextFormattedCitation" : "14", "previouslyFormattedCitation" : "&lt;sup&gt;14&lt;/sup&gt;" }, "properties" : { "noteIndex" : 0 }, "schema" : "https://github.com/citation-style-language/schema/raw/master/csl-citation.json" }</w:instrText>
      </w:r>
      <w:r w:rsidR="000B5A74">
        <w:rPr>
          <w:lang w:val="en-US"/>
        </w:rPr>
        <w:fldChar w:fldCharType="separate"/>
      </w:r>
      <w:r w:rsidR="000B5A74" w:rsidRPr="000B5A74">
        <w:rPr>
          <w:noProof/>
          <w:vertAlign w:val="superscript"/>
          <w:lang w:val="en-US"/>
        </w:rPr>
        <w:t>14</w:t>
      </w:r>
      <w:r w:rsidR="000B5A74">
        <w:rPr>
          <w:lang w:val="en-US"/>
        </w:rPr>
        <w:fldChar w:fldCharType="end"/>
      </w:r>
      <w:r w:rsidR="000B5A74" w:rsidRPr="000B5A74">
        <w:rPr>
          <w:lang w:val="en-US"/>
        </w:rPr>
        <w:t xml:space="preserve">  we have named our simplified version of the PMDRS the Simplified Functional Movement Disorders Rating scale (S</w:t>
      </w:r>
      <w:r w:rsidR="00621715">
        <w:rPr>
          <w:lang w:val="en-US"/>
        </w:rPr>
        <w:t>-</w:t>
      </w:r>
      <w:r w:rsidR="000B5A74" w:rsidRPr="000B5A74">
        <w:rPr>
          <w:lang w:val="en-US"/>
        </w:rPr>
        <w:t>FMDRS).</w:t>
      </w:r>
    </w:p>
    <w:p w14:paraId="1112429A" w14:textId="77777777" w:rsidR="008E1CAA" w:rsidRDefault="008E1CAA" w:rsidP="008E1CAA">
      <w:pPr>
        <w:pStyle w:val="Heading1"/>
      </w:pPr>
      <w:r>
        <w:t>Method</w:t>
      </w:r>
    </w:p>
    <w:p w14:paraId="0491DA27" w14:textId="77777777" w:rsidR="008E1CAA" w:rsidRPr="00345A16" w:rsidRDefault="008E1CAA" w:rsidP="008E1CAA">
      <w:pPr>
        <w:pStyle w:val="Heading2"/>
      </w:pPr>
      <w:r w:rsidRPr="00345A16">
        <w:t>Participants</w:t>
      </w:r>
    </w:p>
    <w:p w14:paraId="1762A65A" w14:textId="09AE7B74" w:rsidR="002D2F4B" w:rsidRDefault="008E1CAA" w:rsidP="008E1CAA">
      <w:r>
        <w:t xml:space="preserve">Participants </w:t>
      </w:r>
      <w:r w:rsidR="007F7FBF">
        <w:t xml:space="preserve">for the reliability study </w:t>
      </w:r>
      <w:r>
        <w:t xml:space="preserve">were </w:t>
      </w:r>
      <w:r w:rsidR="001A0DAD">
        <w:t>drawn</w:t>
      </w:r>
      <w:r>
        <w:t xml:space="preserve"> from </w:t>
      </w:r>
      <w:r w:rsidR="00494ED2">
        <w:t>s</w:t>
      </w:r>
      <w:r>
        <w:t xml:space="preserve">ubjects enrolled in </w:t>
      </w:r>
      <w:r w:rsidR="00DA0E9D">
        <w:t xml:space="preserve">a </w:t>
      </w:r>
      <w:r>
        <w:t>randomised feasibi</w:t>
      </w:r>
      <w:r w:rsidR="000910DE">
        <w:t xml:space="preserve">lity study of </w:t>
      </w:r>
      <w:r w:rsidR="00C500CA">
        <w:t>physiotherapy for FMD</w:t>
      </w:r>
      <w:r w:rsidR="00A92E4D">
        <w:fldChar w:fldCharType="begin" w:fldLock="1"/>
      </w:r>
      <w:r w:rsidR="009A0516">
        <w:instrText>ADDIN CSL_CITATION { "citationItems" : [ { "id" : "ITEM-1", "itemData" : { "DOI" : "10.1136/jnnp-2016-314408", "ISSN" : "1468-330X", "PMID" : "27694498", "abstract" : "OBJECTIVE To determine the feasibility of conducting a randomised controlled trial of a specialist physiotherapy intervention for functional motor symptoms (FMS). METHODS A randomised feasibility study was conducted recruiting patients with a clinically established diagnosis of FMS from a tertiary neurology clinic in London, UK. Participants were randomised to the intervention or a treatment as usual control. Measures of feasibility and clinical outcome were collected and assessed at 6 months. RESULTS 60 individuals were recruited over a 9-month period. Three withdrew, leaving 29 intervention and 28 controls participants in the final analysis. 32% of patients with FMS met the inclusion criteria, of which 90% enrolled. Acceptability of the intervention was high and there were no adverse events. At 6 months, 72% of the intervention group rated their symptoms as improved, compared to 18% in the control group. There was a moderate to large treatment effect across a range of outcomes, including three of eight Short Form 36 (SF36) domains (d=0.46-0.79). The SF36 Physical function was found to be a suitable primary outcome measure for a future trial; adjusted mean difference 19.8 (95% CI 10.2 to 29.5). The additional quality adjusted life years (QALY) with intervention was 0.08 (95% CI 0.03 to 0.13), the mean incremental cost per QALY gained was \u00a312 087. CONCLUSIONS This feasibility study demonstrated high rates of recruitment, retention and acceptability. Clinical effect size was moderate to large with high probability of being cost-effective. A randomised controlled trial is needed. TRIAL REGISTRATION NUMBER NCT02275000; Results.", "author" : [ { "dropping-particle" : "", "family" : "Nielsen", "given" : "G", "non-dropping-particle" : "", "parse-names" : false, "suffix" : "" }, { "dropping-particle" : "", "family" : "Buszewicz", "given" : "M", "non-dropping-particle" : "", "parse-names" : false, "suffix" : "" }, { "dropping-particle" : "", "family" : "Stevenson", "given" : "F", "non-dropping-particle" : "", "parse-names" : false, "suffix" : "" }, { "dropping-particle" : "", "family" : "Hunter", "given" : "R", "non-dropping-particle" : "", "parse-names" : false, "suffix" : "" }, { "dropping-particle" : "", "family" : "Holt", "given" : "K", "non-dropping-particle" : "", "parse-names" : false, "suffix" : "" }, { "dropping-particle" : "", "family" : "Dudziec", "given" : "M", "non-dropping-particle" : "", "parse-names" : false, "suffix" : "" }, { "dropping-particle" : "", "family" : "Ricciardi", "given" : "L", "non-dropping-particle" : "", "parse-names" : false, "suffix" : "" }, { "dropping-particle" : "", "family" : "Marsden", "given" : "J", "non-dropping-particle" : "", "parse-names" : false, "suffix" : "" }, { "dropping-particle" : "", "family" : "Joyce", "given" : "E", "non-dropping-particle" : "", "parse-names" : false, "suffix" : "" }, { "dropping-particle" : "", "family" : "Edwards", "given" : "Mark J", "non-dropping-particle" : "", "parse-names" : false, "suffix" : "" } ], "container-title" : "Journal of Neurology, Neurosurgery &amp; Psychiatry", "id" : "ITEM-1", "issued" : { "date-parts" : [ [ "2016", "9", "30" ] ] }, "page" : "jnnp-2016-314408", "publisher" : "BMJ Publishing Group Ltd", "title" : "Randomised Feasibility Study of Physiotherapy for Patients with Functional Motor Symptoms", "type" : "article-journal", "volume" : "online fir" }, "uris" : [ "http://www.mendeley.com/documents/?uuid=e4c29339-ca67-41ee-865f-fdef7292089e" ] } ], "mendeley" : { "formattedCitation" : "&lt;sup&gt;15&lt;/sup&gt;", "plainTextFormattedCitation" : "15", "previouslyFormattedCitation" : "&lt;sup&gt;15&lt;/sup&gt;" }, "properties" : { "noteIndex" : 0 }, "schema" : "https://github.com/citation-style-language/schema/raw/master/csl-citation.json" }</w:instrText>
      </w:r>
      <w:r w:rsidR="00A92E4D">
        <w:fldChar w:fldCharType="separate"/>
      </w:r>
      <w:r w:rsidR="00A92E4D" w:rsidRPr="00A92E4D">
        <w:rPr>
          <w:noProof/>
          <w:vertAlign w:val="superscript"/>
        </w:rPr>
        <w:t>15</w:t>
      </w:r>
      <w:r w:rsidR="00A92E4D">
        <w:fldChar w:fldCharType="end"/>
      </w:r>
      <w:r w:rsidR="002D2F4B">
        <w:t>.</w:t>
      </w:r>
      <w:r w:rsidR="00C500CA">
        <w:t xml:space="preserve"> </w:t>
      </w:r>
      <w:r w:rsidR="002D2F4B" w:rsidRPr="002D2F4B">
        <w:t>The inclusion criteria were: a clinica</w:t>
      </w:r>
      <w:r w:rsidR="002D2F4B">
        <w:t>lly established diagnosis of FMD</w:t>
      </w:r>
      <w:r w:rsidR="002D2F4B" w:rsidRPr="002D2F4B">
        <w:t xml:space="preserve"> according to the </w:t>
      </w:r>
      <w:proofErr w:type="spellStart"/>
      <w:r w:rsidR="002D2F4B" w:rsidRPr="002D2F4B">
        <w:t>Fahn</w:t>
      </w:r>
      <w:proofErr w:type="spellEnd"/>
      <w:r w:rsidR="002D2F4B" w:rsidRPr="002D2F4B">
        <w:t xml:space="preserve">-Williams </w:t>
      </w:r>
      <w:proofErr w:type="spellStart"/>
      <w:r w:rsidR="002D2F4B" w:rsidRPr="002D2F4B">
        <w:t>criteria</w:t>
      </w:r>
      <w:proofErr w:type="spellEnd"/>
      <w:r w:rsidR="000910DE">
        <w:fldChar w:fldCharType="begin" w:fldLock="1"/>
      </w:r>
      <w:r w:rsidR="00A92E4D">
        <w:instrText>ADDIN CSL_CITATION { "citationItems" : [ { "id" : "ITEM-1", "itemData" : { "ISSN" : "0091-3952", "PMID" : "3400501", "author" : [ { "dropping-particle" : "", "family" : "Fahn", "given" : "S", "non-dropping-particle" : "", "parse-names" : false, "suffix" : "" }, { "dropping-particle" : "", "family" : "Williams", "given" : "D T", "non-dropping-particle" : "", "parse-names" : false, "suffix" : "" } ], "container-title" : "Advances in neurology", "id" : "ITEM-1", "issued" : { "date-parts" : [ [ "1988", "1" ] ] }, "page" : "431-55", "title" : "Psychogenic dystonia.", "type" : "article-journal", "volume" : "50" }, "uris" : [ "http://www.mendeley.com/documents/?uuid=98bbf0cb-cd6d-47c7-b71b-22d1a7d5ad6e" ] } ], "mendeley" : { "formattedCitation" : "&lt;sup&gt;16&lt;/sup&gt;", "plainTextFormattedCitation" : "16", "previouslyFormattedCitation" : "&lt;sup&gt;16&lt;/sup&gt;" }, "properties" : { "noteIndex" : 0 }, "schema" : "https://github.com/citation-style-language/schema/raw/master/csl-citation.json" }</w:instrText>
      </w:r>
      <w:r w:rsidR="000910DE">
        <w:fldChar w:fldCharType="separate"/>
      </w:r>
      <w:r w:rsidR="00A92E4D" w:rsidRPr="00A92E4D">
        <w:rPr>
          <w:noProof/>
          <w:vertAlign w:val="superscript"/>
        </w:rPr>
        <w:t>16</w:t>
      </w:r>
      <w:r w:rsidR="000910DE">
        <w:fldChar w:fldCharType="end"/>
      </w:r>
      <w:r w:rsidR="002D2F4B">
        <w:t xml:space="preserve">; </w:t>
      </w:r>
      <w:r w:rsidR="002D2F4B" w:rsidRPr="002D2F4B">
        <w:t xml:space="preserve">age 18 years or older; completed diagnostic investigations; acceptance of the diagnosis; symptom duration of at least six months; and symptoms severe enough to cause distress or impairment in social or occupational functioning. The exclusion criteria were: unable to understand English; </w:t>
      </w:r>
      <w:r w:rsidR="00710096">
        <w:t>pain or fatigue that we judged to be the primary cause of the patient’s disability; prominent</w:t>
      </w:r>
      <w:r w:rsidR="002D2F4B" w:rsidRPr="002D2F4B">
        <w:t xml:space="preserve"> dissociative seizures</w:t>
      </w:r>
      <w:r w:rsidR="00710096">
        <w:t xml:space="preserve"> for which the patient required assistance to manage</w:t>
      </w:r>
      <w:r w:rsidR="002D2F4B" w:rsidRPr="002D2F4B">
        <w:t xml:space="preserve">; clinically evident anxiety or depression that we felt required assessment before starting physiotherapy treatment; </w:t>
      </w:r>
      <w:r w:rsidR="002D2F4B">
        <w:t xml:space="preserve">and </w:t>
      </w:r>
      <w:r w:rsidR="002D2F4B" w:rsidRPr="002D2F4B">
        <w:t>high level of disability that prevented participation in an outpa</w:t>
      </w:r>
      <w:r w:rsidR="002D2F4B">
        <w:t>tient/day hospital environment.</w:t>
      </w:r>
      <w:r w:rsidR="00C500CA" w:rsidRPr="00C500CA">
        <w:t xml:space="preserve"> </w:t>
      </w:r>
      <w:r w:rsidR="00C500CA">
        <w:t>Approval was obtained from the National Research Ethics Service Committee London – City Road &amp; Hampstead (14/LO/0572). All participants gave written informed consent.</w:t>
      </w:r>
    </w:p>
    <w:p w14:paraId="0885C5A0" w14:textId="1C2BE843" w:rsidR="008E1CAA" w:rsidRPr="00E44ADB" w:rsidRDefault="009D3C2D" w:rsidP="008E1CAA">
      <w:pPr>
        <w:pStyle w:val="Heading2"/>
      </w:pPr>
      <w:r>
        <w:lastRenderedPageBreak/>
        <w:t>Procedures</w:t>
      </w:r>
    </w:p>
    <w:p w14:paraId="3E794D92" w14:textId="116368D9" w:rsidR="004247B5" w:rsidRDefault="00C500CA" w:rsidP="004247B5">
      <w:r>
        <w:t>Each participant completed a battery of assessments including a standardised video of movement</w:t>
      </w:r>
      <w:r w:rsidR="0010754E">
        <w:t>, 10 met</w:t>
      </w:r>
      <w:r w:rsidR="007D2188">
        <w:t>re timed walk and Short Form 36</w:t>
      </w:r>
      <w:r w:rsidR="0010754E">
        <w:fldChar w:fldCharType="begin" w:fldLock="1"/>
      </w:r>
      <w:r w:rsidR="00A92E4D">
        <w:instrText>ADDIN CSL_CITATION { "citationItems" : [ { "id" : "ITEM-1", "itemData" : { "ISSN" : "0025-7079", "PMID" : "8450681", "abstract" : "Cross-sectional data from the Medical Outcomes Study (MOS) were analyzed to test the validity of the MOS 36-Item Short-Form Health Survey (SF-36) scales as measures of physical and mental health constructs. Results from traditional psychometric and clinical tests of validity were compared. Principal components analysis was used to test for hypothesized physical and mental health dimensions. For purposes of clinical tests of validity, clinical criteria defined mutually exclusive adult patient groups differing in severity of medical and psychiatric conditions. Scales shown in the components analysis to primarily measure physical health (physical functioning and role limitations-physical) best distinguished groups differing in severity of chronic medical condition and had the most pure physical health interpretation. Scales shown to primarily measure mental health (mental health and role limitations-emotional) best distinguished groups differing in the presence and severity of psychiatric disorders and had the most pure mental health interpretation. The social functioning, vitality, and general health perceptions scales measured both physical and mental health components and, thus, had the most complex interpretation. These results are useful in establishing guidelines for the interpretation of each scale and in documenting the size of differences between clinical groups that should be considered very large.", "author" : [ { "dropping-particle" : "", "family" : "McHorney", "given" : "C A", "non-dropping-particle" : "", "parse-names" : false, "suffix" : "" }, { "dropping-particle" : "", "family" : "Ware", "given" : "J E", "non-dropping-particle" : "", "parse-names" : false, "suffix" : "" }, { "dropping-particle" : "", "family" : "Raczek", "given" : "A E", "non-dropping-particle" : "", "parse-names" : false, "suffix" : "" } ], "container-title" : "Medical care", "id" : "ITEM-1", "issue" : "3", "issued" : { "date-parts" : [ [ "1993", "3" ] ] }, "page" : "247-63", "title" : "The MOS 36-Item Short-Form Health Survey (SF-36): II. Psychometric and clinical tests of validity in measuring physical and mental health constructs.", "type" : "article-journal", "volume" : "31" }, "uris" : [ "http://www.mendeley.com/documents/?uuid=0a643b56-b19b-4fef-a611-4e6ed8df3bd4" ] } ], "mendeley" : { "formattedCitation" : "&lt;sup&gt;17&lt;/sup&gt;", "plainTextFormattedCitation" : "17", "previouslyFormattedCitation" : "&lt;sup&gt;17&lt;/sup&gt;" }, "properties" : { "noteIndex" : 0 }, "schema" : "https://github.com/citation-style-language/schema/raw/master/csl-citation.json" }</w:instrText>
      </w:r>
      <w:r w:rsidR="0010754E">
        <w:fldChar w:fldCharType="separate"/>
      </w:r>
      <w:r w:rsidR="00A92E4D" w:rsidRPr="00A92E4D">
        <w:rPr>
          <w:noProof/>
          <w:vertAlign w:val="superscript"/>
        </w:rPr>
        <w:t>17</w:t>
      </w:r>
      <w:r w:rsidR="0010754E">
        <w:fldChar w:fldCharType="end"/>
      </w:r>
      <w:r w:rsidR="0010754E">
        <w:t xml:space="preserve"> </w:t>
      </w:r>
      <w:r>
        <w:t xml:space="preserve">at baseline (prior to treatment) and six months follow up. </w:t>
      </w:r>
      <w:r w:rsidR="0010754E">
        <w:t xml:space="preserve">In the standardised video of movement, participants were filmed according to </w:t>
      </w:r>
      <w:r w:rsidR="007C1A52">
        <w:t>a</w:t>
      </w:r>
      <w:r w:rsidR="0010754E">
        <w:t xml:space="preserve"> protoco</w:t>
      </w:r>
      <w:r w:rsidR="007F688A">
        <w:t xml:space="preserve">l </w:t>
      </w:r>
      <w:r w:rsidR="007C1A52">
        <w:t xml:space="preserve">based on that </w:t>
      </w:r>
      <w:r w:rsidR="005F5949">
        <w:t>reported by Hi</w:t>
      </w:r>
      <w:r w:rsidR="007F688A">
        <w:t>nso</w:t>
      </w:r>
      <w:r w:rsidR="007D2188">
        <w:t>n et al 2005</w:t>
      </w:r>
      <w:r w:rsidR="0010754E">
        <w:fldChar w:fldCharType="begin" w:fldLock="1"/>
      </w:r>
      <w:r w:rsidR="00DF4C79">
        <w:instrText>ADDIN CSL_CITATION { "citationItems" : [ { "id" : "ITEM-1", "itemData" : { "DOI" : "10.1002/mds.20650", "ISBN" : "0885-3185 (Print)\r0885-3185 (Linking)", "PMID" : "16108025", "abstract" : "We developed and tested the clinimetric properties of a scale for psychogenic movement disorders (PMDs). PMDs are disabling but lack any generally accepted treatment strategies. To develop treatments, means of assessing disease severity must be provided. No scale to assess PMDs existed. The PMD scale developed here rates 10 phenomena (rest tremor, action tremor, dystonia, chorea, bradykinesia, myoclonus, tics, athetosis, ballism, cerebellar incoordination), 2 functions (gait, speech), and 14 body regions. To study interrater agreement, three movement disorder neurologists independently rated 88 videotapes of PMD patients. Data analysis was performed using a kappa coefficient of agreement, Kendall's coefficient of concordance, Spearman correlations, and intraclass correlation coefficients. Validity and scale responsiveness were tested as well. All phenomena and speech and gait dysfunction occurred in the patient sample. A wide range of affected body regions, severity, and incapacitation was captured. Ratings showed excellent interrater reliability for presence or absence of each phenomenon (kappa range, 0.63 to 0.86). Kendall's concordance coefficients for phenomenology, function, and total PMD scores were 0.92, 0.93, and 0.91. Spearman correlations between raters ranged from 0.86 to 0.90. The scale was responsive to changes that occurred as a result of a neuropsychiatric intervention. The PMD scale adequately captures the complex movements of PMDs and can be used to assess PMDs and test the efficacy of intervention strategies.", "author" : [ { "dropping-particle" : "", "family" : "Hinson", "given" : "V K", "non-dropping-particle" : "", "parse-names" : false, "suffix" : "" }, { "dropping-particle" : "", "family" : "Cubo", "given" : "E", "non-dropping-particle" : "", "parse-names" : false, "suffix" : "" }, { "dropping-particle" : "", "family" : "Comella", "given" : "C L", "non-dropping-particle" : "", "parse-names" : false, "suffix" : "" }, { "dropping-particle" : "", "family" : "Goetz", "given" : "C G", "non-dropping-particle" : "", "parse-names" : false, "suffix" : "" }, { "dropping-particle" : "", "family" : "Leurgans", "given" : "S", "non-dropping-particle" : "", "parse-names" : false, "suffix" : "" } ], "container-title" : "Mov Disord", "genre" : "Journal Article", "id" : "ITEM-1", "issue" : "12", "issued" : { "date-parts" : [ [ "2005" ] ] }, "note" : "Hinson, Vanessa K\nCubo, Esther\nComella, Cynthia L\nGoetz, Christopher G\nLeurgans, Sue\neng\nComparative Study\n2005/08/19 09:00\nMov Disord. 2005 Dec;20(12):1592-7.", "page" : "1592-1597", "title" : "Rating scale for psychogenic movement disorders: scale development and clinimetric testing", "type" : "article-journal", "volume" : "20" }, "uris" : [ "http://www.mendeley.com/documents/?uuid=fe4d4ff3-0a9a-4114-8b5b-71219d36cd67" ] } ], "mendeley" : { "formattedCitation" : "&lt;sup&gt;12&lt;/sup&gt;", "plainTextFormattedCitation" : "12", "previouslyFormattedCitation" : "&lt;sup&gt;12&lt;/sup&gt;" }, "properties" : { "noteIndex" : 0 }, "schema" : "https://github.com/citation-style-language/schema/raw/master/csl-citation.json" }</w:instrText>
      </w:r>
      <w:r w:rsidR="0010754E">
        <w:fldChar w:fldCharType="separate"/>
      </w:r>
      <w:r w:rsidR="0010754E" w:rsidRPr="00473993">
        <w:rPr>
          <w:noProof/>
          <w:vertAlign w:val="superscript"/>
        </w:rPr>
        <w:t>12</w:t>
      </w:r>
      <w:r w:rsidR="0010754E">
        <w:fldChar w:fldCharType="end"/>
      </w:r>
      <w:r w:rsidR="007C1A52">
        <w:t>. Filming</w:t>
      </w:r>
      <w:r w:rsidR="00585B55">
        <w:t xml:space="preserve"> starting with a</w:t>
      </w:r>
      <w:r w:rsidR="00E80FA7">
        <w:t xml:space="preserve"> full body view </w:t>
      </w:r>
      <w:r w:rsidR="00585B55">
        <w:t xml:space="preserve">of </w:t>
      </w:r>
      <w:r w:rsidR="00E45E11">
        <w:t xml:space="preserve">the participant </w:t>
      </w:r>
      <w:r w:rsidR="00585B55">
        <w:t>sitting in a chair with arm rests</w:t>
      </w:r>
      <w:r w:rsidR="00E80FA7">
        <w:t xml:space="preserve"> (15 seconds); close up of face and neck (</w:t>
      </w:r>
      <w:r w:rsidR="00585B55">
        <w:t>15 seconds); the participant</w:t>
      </w:r>
      <w:r w:rsidR="00E80FA7">
        <w:t xml:space="preserve"> was then asked to recite the months of the year; full body view sitting with hands supine resting on thighs</w:t>
      </w:r>
      <w:r w:rsidR="007C1A52">
        <w:t xml:space="preserve"> (15 seconds)</w:t>
      </w:r>
      <w:r w:rsidR="00585B55">
        <w:t xml:space="preserve">; arms extended </w:t>
      </w:r>
      <w:r w:rsidR="00E80FA7">
        <w:t>at shoulder height</w:t>
      </w:r>
      <w:r w:rsidR="00585B55">
        <w:t xml:space="preserve"> with hands in pronation (10 seconds); finger-nose test (5 repetitions); </w:t>
      </w:r>
      <w:r w:rsidR="007C1A52">
        <w:t xml:space="preserve">thumb and index-finger </w:t>
      </w:r>
      <w:r w:rsidR="00585B55">
        <w:t>finger taps (15 seconds); heel taps (15 seconds); moving from sitting to standing; standin</w:t>
      </w:r>
      <w:r w:rsidR="00E45E11">
        <w:t>g with</w:t>
      </w:r>
      <w:r w:rsidR="007C1A52">
        <w:t xml:space="preserve"> posture uncorrected</w:t>
      </w:r>
      <w:r w:rsidR="00585B55">
        <w:t xml:space="preserve"> (10 seconds); </w:t>
      </w:r>
      <w:r w:rsidR="007C1A52">
        <w:t>standing feet touching</w:t>
      </w:r>
      <w:r w:rsidR="00585B55">
        <w:t xml:space="preserve"> (10 seconds)</w:t>
      </w:r>
      <w:r w:rsidR="004B01B4">
        <w:t xml:space="preserve"> and finally walking 5 metres, turn and walking back to the starting position</w:t>
      </w:r>
      <w:r w:rsidR="007C1A52">
        <w:t xml:space="preserve"> (using aids if necessary)</w:t>
      </w:r>
      <w:r w:rsidR="00585B55">
        <w:t xml:space="preserve">. All video was filmed in </w:t>
      </w:r>
      <w:r w:rsidR="007C1A52">
        <w:t xml:space="preserve">a </w:t>
      </w:r>
      <w:r w:rsidR="00585B55">
        <w:t>frontal view</w:t>
      </w:r>
      <w:r w:rsidR="00E80FA7">
        <w:t xml:space="preserve">. </w:t>
      </w:r>
      <w:r>
        <w:t xml:space="preserve">A sample of 52 videos were </w:t>
      </w:r>
      <w:r w:rsidR="007D2188">
        <w:t xml:space="preserve">randomly selected </w:t>
      </w:r>
      <w:r w:rsidR="007C1A52">
        <w:t xml:space="preserve">(from the feasibility study data) </w:t>
      </w:r>
      <w:r w:rsidR="007D2188">
        <w:t xml:space="preserve">using an online randomisation application, </w:t>
      </w:r>
      <w:r>
        <w:t xml:space="preserve">for </w:t>
      </w:r>
      <w:r w:rsidR="009A0516">
        <w:t xml:space="preserve">the </w:t>
      </w:r>
      <w:r>
        <w:t xml:space="preserve">reliability and validity assessment. </w:t>
      </w:r>
      <w:r w:rsidR="008E1CAA">
        <w:t>T</w:t>
      </w:r>
      <w:r w:rsidR="00397B7D">
        <w:t>hree</w:t>
      </w:r>
      <w:r w:rsidR="008E1CAA">
        <w:t xml:space="preserve"> neurologists</w:t>
      </w:r>
      <w:r w:rsidR="000910DE">
        <w:t xml:space="preserve"> </w:t>
      </w:r>
      <w:r w:rsidR="008E1CAA">
        <w:t xml:space="preserve">with clinical experience in movement disorders </w:t>
      </w:r>
      <w:r w:rsidR="0010754E">
        <w:t>(LR</w:t>
      </w:r>
      <w:r w:rsidR="00397B7D">
        <w:t>,</w:t>
      </w:r>
      <w:r w:rsidR="0010754E">
        <w:t xml:space="preserve"> AM</w:t>
      </w:r>
      <w:r w:rsidR="00397B7D">
        <w:t xml:space="preserve"> and TT</w:t>
      </w:r>
      <w:r w:rsidR="0010754E">
        <w:t xml:space="preserve">) </w:t>
      </w:r>
      <w:r w:rsidR="008E1CAA">
        <w:t xml:space="preserve">independently rated each video according to the PMDRS and </w:t>
      </w:r>
      <w:r w:rsidR="000910DE">
        <w:t>a simplified version (</w:t>
      </w:r>
      <w:r w:rsidR="00203C6F">
        <w:t>S-FMDRS</w:t>
      </w:r>
      <w:r w:rsidR="000910DE">
        <w:t>)</w:t>
      </w:r>
      <w:r w:rsidR="008E1CAA">
        <w:t xml:space="preserve">. </w:t>
      </w:r>
      <w:r w:rsidR="004247B5">
        <w:t xml:space="preserve">The original PMDRS was scored according to the instructions in the </w:t>
      </w:r>
      <w:proofErr w:type="spellStart"/>
      <w:r w:rsidR="004247B5">
        <w:t>manuscript</w:t>
      </w:r>
      <w:proofErr w:type="spellEnd"/>
      <w:r w:rsidR="004247B5">
        <w:fldChar w:fldCharType="begin" w:fldLock="1"/>
      </w:r>
      <w:r w:rsidR="00DF4C79">
        <w:instrText>ADDIN CSL_CITATION { "citationItems" : [ { "id" : "ITEM-1", "itemData" : { "DOI" : "10.1002/mds.20650", "ISBN" : "0885-3185 (Print)\r0885-3185 (Linking)", "PMID" : "16108025", "abstract" : "We developed and tested the clinimetric properties of a scale for psychogenic movement disorders (PMDs). PMDs are disabling but lack any generally accepted treatment strategies. To develop treatments, means of assessing disease severity must be provided. No scale to assess PMDs existed. The PMD scale developed here rates 10 phenomena (rest tremor, action tremor, dystonia, chorea, bradykinesia, myoclonus, tics, athetosis, ballism, cerebellar incoordination), 2 functions (gait, speech), and 14 body regions. To study interrater agreement, three movement disorder neurologists independently rated 88 videotapes of PMD patients. Data analysis was performed using a kappa coefficient of agreement, Kendall's coefficient of concordance, Spearman correlations, and intraclass correlation coefficients. Validity and scale responsiveness were tested as well. All phenomena and speech and gait dysfunction occurred in the patient sample. A wide range of affected body regions, severity, and incapacitation was captured. Ratings showed excellent interrater reliability for presence or absence of each phenomenon (kappa range, 0.63 to 0.86). Kendall's concordance coefficients for phenomenology, function, and total PMD scores were 0.92, 0.93, and 0.91. Spearman correlations between raters ranged from 0.86 to 0.90. The scale was responsive to changes that occurred as a result of a neuropsychiatric intervention. The PMD scale adequately captures the complex movements of PMDs and can be used to assess PMDs and test the efficacy of intervention strategies.", "author" : [ { "dropping-particle" : "", "family" : "Hinson", "given" : "V K", "non-dropping-particle" : "", "parse-names" : false, "suffix" : "" }, { "dropping-particle" : "", "family" : "Cubo", "given" : "E", "non-dropping-particle" : "", "parse-names" : false, "suffix" : "" }, { "dropping-particle" : "", "family" : "Comella", "given" : "C L", "non-dropping-particle" : "", "parse-names" : false, "suffix" : "" }, { "dropping-particle" : "", "family" : "Goetz", "given" : "C G", "non-dropping-particle" : "", "parse-names" : false, "suffix" : "" }, { "dropping-particle" : "", "family" : "Leurgans", "given" : "S", "non-dropping-particle" : "", "parse-names" : false, "suffix" : "" } ], "container-title" : "Mov Disord", "genre" : "Journal Article", "id" : "ITEM-1", "issue" : "12", "issued" : { "date-parts" : [ [ "2005" ] ] }, "note" : "Hinson, Vanessa K\nCubo, Esther\nComella, Cynthia L\nGoetz, Christopher G\nLeurgans, Sue\neng\nComparative Study\n2005/08/19 09:00\nMov Disord. 2005 Dec;20(12):1592-7.", "page" : "1592-1597", "title" : "Rating scale for psychogenic movement disorders: scale development and clinimetric testing", "type" : "article-journal", "volume" : "20" }, "uris" : [ "http://www.mendeley.com/documents/?uuid=fe4d4ff3-0a9a-4114-8b5b-71219d36cd67" ] } ], "mendeley" : { "formattedCitation" : "&lt;sup&gt;12&lt;/sup&gt;", "plainTextFormattedCitation" : "12", "previouslyFormattedCitation" : "&lt;sup&gt;12&lt;/sup&gt;" }, "properties" : { "noteIndex" : 0 }, "schema" : "https://github.com/citation-style-language/schema/raw/master/csl-citation.json" }</w:instrText>
      </w:r>
      <w:r w:rsidR="004247B5">
        <w:fldChar w:fldCharType="separate"/>
      </w:r>
      <w:r w:rsidR="004247B5" w:rsidRPr="00473993">
        <w:rPr>
          <w:noProof/>
          <w:vertAlign w:val="superscript"/>
        </w:rPr>
        <w:t>12</w:t>
      </w:r>
      <w:r w:rsidR="004247B5">
        <w:fldChar w:fldCharType="end"/>
      </w:r>
      <w:r w:rsidR="004247B5">
        <w:t xml:space="preserve">. </w:t>
      </w:r>
      <w:r w:rsidR="008E1CAA">
        <w:t>The order</w:t>
      </w:r>
      <w:r w:rsidR="007F5848">
        <w:t xml:space="preserve"> of scoring for each </w:t>
      </w:r>
      <w:r w:rsidR="009A2661">
        <w:t>scale</w:t>
      </w:r>
      <w:r w:rsidR="007F5848">
        <w:t xml:space="preserve"> </w:t>
      </w:r>
      <w:r w:rsidR="008E1CAA">
        <w:t xml:space="preserve">was alternated between videos. </w:t>
      </w:r>
      <w:r w:rsidR="009D3C2D">
        <w:t xml:space="preserve">In addition, a physiotherapist rated the videos using the </w:t>
      </w:r>
      <w:r w:rsidR="00203C6F">
        <w:t>S-FMDRS</w:t>
      </w:r>
      <w:r w:rsidR="00907FB5">
        <w:t xml:space="preserve"> only.</w:t>
      </w:r>
      <w:r w:rsidR="004247B5">
        <w:t xml:space="preserve"> The </w:t>
      </w:r>
      <w:proofErr w:type="spellStart"/>
      <w:r w:rsidR="004247B5">
        <w:t>rater</w:t>
      </w:r>
      <w:proofErr w:type="spellEnd"/>
      <w:r w:rsidR="004247B5">
        <w:t xml:space="preserve"> was instructed to watch each video in full, </w:t>
      </w:r>
      <w:r w:rsidR="001A0DAD">
        <w:t xml:space="preserve">and </w:t>
      </w:r>
      <w:r w:rsidR="004247B5">
        <w:t xml:space="preserve">they were then </w:t>
      </w:r>
      <w:r w:rsidR="001A0DAD">
        <w:t>permitted</w:t>
      </w:r>
      <w:r w:rsidR="004247B5">
        <w:t xml:space="preserve"> to re-watch relevant sections as required. </w:t>
      </w:r>
    </w:p>
    <w:p w14:paraId="6901F501" w14:textId="2D772423" w:rsidR="00907FB5" w:rsidRDefault="00907FB5" w:rsidP="00907FB5">
      <w:pPr>
        <w:pStyle w:val="Heading2"/>
      </w:pPr>
      <w:r>
        <w:t xml:space="preserve">Simplified </w:t>
      </w:r>
      <w:r w:rsidR="00203C6F">
        <w:t>Functional</w:t>
      </w:r>
      <w:r>
        <w:t xml:space="preserve"> Movement Disorders Rating Scale (</w:t>
      </w:r>
      <w:r w:rsidR="00203C6F">
        <w:t>S-FMDRS</w:t>
      </w:r>
      <w:r>
        <w:t>)</w:t>
      </w:r>
    </w:p>
    <w:p w14:paraId="1C559D82" w14:textId="05AF7AA5" w:rsidR="004247B5" w:rsidRDefault="00DA0E9D" w:rsidP="00CE470C">
      <w:r>
        <w:t xml:space="preserve">The following </w:t>
      </w:r>
      <w:r w:rsidR="001A0DAD">
        <w:t xml:space="preserve">developments </w:t>
      </w:r>
      <w:r>
        <w:t xml:space="preserve">were made </w:t>
      </w:r>
      <w:r w:rsidR="001A0DAD">
        <w:t>to create the</w:t>
      </w:r>
      <w:r>
        <w:t xml:space="preserve"> simplified scale</w:t>
      </w:r>
      <w:r w:rsidR="001A0DAD">
        <w:t xml:space="preserve"> (see figure 2). First, and most importantly, the nature of the movement disorder phenomenology was removed, and </w:t>
      </w:r>
      <w:proofErr w:type="spellStart"/>
      <w:r w:rsidR="001A0DAD">
        <w:t>raters</w:t>
      </w:r>
      <w:proofErr w:type="spellEnd"/>
      <w:r w:rsidR="001A0DAD">
        <w:t xml:space="preserve"> were simply required to note the presence or absence of abnormal movement in each body region. Second, t</w:t>
      </w:r>
      <w:r>
        <w:t>h</w:t>
      </w:r>
      <w:r w:rsidR="00907FB5">
        <w:t xml:space="preserve">e number of body regions </w:t>
      </w:r>
      <w:r w:rsidR="001A0DAD">
        <w:t>was</w:t>
      </w:r>
      <w:r w:rsidR="00907FB5">
        <w:t xml:space="preserve"> condensed from 14 to seven. </w:t>
      </w:r>
      <w:r w:rsidR="001A0DAD">
        <w:t>Third, s</w:t>
      </w:r>
      <w:r w:rsidR="007F5848">
        <w:t xml:space="preserve">ymptom severity </w:t>
      </w:r>
      <w:r w:rsidR="00494ED2">
        <w:t xml:space="preserve">at each body region </w:t>
      </w:r>
      <w:r w:rsidR="001A0DAD">
        <w:t xml:space="preserve">was </w:t>
      </w:r>
      <w:r w:rsidR="009A2661">
        <w:t>rated from</w:t>
      </w:r>
      <w:r w:rsidR="007F5848">
        <w:t xml:space="preserve"> 0-3</w:t>
      </w:r>
      <w:r>
        <w:t xml:space="preserve"> (0=none, 1=mild, 2=moderate, 3=severe</w:t>
      </w:r>
      <w:r w:rsidR="007F5848">
        <w:t>).</w:t>
      </w:r>
      <w:r w:rsidR="004247B5">
        <w:t xml:space="preserve"> </w:t>
      </w:r>
      <w:r w:rsidR="001A0DAD">
        <w:t>Fourth, a</w:t>
      </w:r>
      <w:r w:rsidR="004247B5">
        <w:t xml:space="preserve"> </w:t>
      </w:r>
      <w:r>
        <w:t>duration score</w:t>
      </w:r>
      <w:r w:rsidR="004247B5">
        <w:t xml:space="preserve"> </w:t>
      </w:r>
      <w:r w:rsidR="001A0DAD">
        <w:t xml:space="preserve">was </w:t>
      </w:r>
      <w:r w:rsidR="004247B5">
        <w:t>assigned to each body region (estimated amount of time during the video</w:t>
      </w:r>
      <w:r w:rsidR="00C022F3">
        <w:t xml:space="preserve"> that</w:t>
      </w:r>
      <w:r w:rsidR="004247B5">
        <w:t xml:space="preserve"> symptoms are observed at the body region),</w:t>
      </w:r>
      <w:r w:rsidR="00CE470C">
        <w:t xml:space="preserve"> rated from 0-3 </w:t>
      </w:r>
      <w:r>
        <w:t>(</w:t>
      </w:r>
      <w:r w:rsidR="00CE470C">
        <w:t>0=none; 1=</w:t>
      </w:r>
      <w:r w:rsidR="00C303DA">
        <w:t>symptomatic movement spotted at least once or only a few times</w:t>
      </w:r>
      <w:r w:rsidR="00CE470C">
        <w:t>; 2=</w:t>
      </w:r>
      <w:r w:rsidR="00C303DA">
        <w:t>symptom is intermittent but frequent, so there are periods where it is absent or does not affect purposeful movement</w:t>
      </w:r>
      <w:r w:rsidR="00CE470C">
        <w:t>; 3=</w:t>
      </w:r>
      <w:r w:rsidR="00C303DA">
        <w:t>the symptom is there all the time</w:t>
      </w:r>
      <w:r w:rsidR="00CE470C">
        <w:t>).</w:t>
      </w:r>
      <w:r>
        <w:t xml:space="preserve">.Gait and speech </w:t>
      </w:r>
      <w:r w:rsidR="001A0DAD">
        <w:t xml:space="preserve">were </w:t>
      </w:r>
      <w:r w:rsidR="00494ED2">
        <w:t xml:space="preserve">also </w:t>
      </w:r>
      <w:r>
        <w:t xml:space="preserve">rated according to severity and duration. </w:t>
      </w:r>
      <w:r w:rsidR="001A0DAD">
        <w:t>Fifth, t</w:t>
      </w:r>
      <w:r>
        <w:t xml:space="preserve">he incapacitation score </w:t>
      </w:r>
      <w:r w:rsidR="001A0DAD">
        <w:t>was</w:t>
      </w:r>
      <w:r>
        <w:t xml:space="preserve"> removed. </w:t>
      </w:r>
      <w:r w:rsidR="007F5848">
        <w:t>All severity and duration score</w:t>
      </w:r>
      <w:r w:rsidR="004247B5">
        <w:t>s</w:t>
      </w:r>
      <w:r w:rsidR="007F5848">
        <w:t xml:space="preserve"> </w:t>
      </w:r>
      <w:r w:rsidR="001A0DAD">
        <w:t xml:space="preserve">were </w:t>
      </w:r>
      <w:r w:rsidR="007F5848">
        <w:t>added to give a total score.</w:t>
      </w:r>
      <w:r w:rsidR="004247B5">
        <w:t xml:space="preserve"> </w:t>
      </w:r>
    </w:p>
    <w:p w14:paraId="768AEEA9" w14:textId="49F2368E" w:rsidR="004247B5" w:rsidRDefault="004247B5" w:rsidP="004247B5">
      <w:pPr>
        <w:pStyle w:val="Heading2"/>
      </w:pPr>
      <w:r>
        <w:lastRenderedPageBreak/>
        <w:t>Feasibility Study Procedures</w:t>
      </w:r>
    </w:p>
    <w:p w14:paraId="11FA88D0" w14:textId="0D456AE2" w:rsidR="006F7977" w:rsidRDefault="00977C5C" w:rsidP="006F7977">
      <w:r>
        <w:t xml:space="preserve">The feasibility study procedures have been reported in full </w:t>
      </w:r>
      <w:proofErr w:type="spellStart"/>
      <w:r>
        <w:t>elsewhere</w:t>
      </w:r>
      <w:proofErr w:type="spellEnd"/>
      <w:r w:rsidR="00C94EA4">
        <w:fldChar w:fldCharType="begin" w:fldLock="1"/>
      </w:r>
      <w:r w:rsidR="00DF4C79">
        <w:instrText>ADDIN CSL_CITATION { "citationItems" : [ { "id" : "ITEM-1", "itemData" : { "DOI" : "10.1136/jnnp-2016-314408", "ISSN" : "1468-330X", "PMID" : "27694498", "abstract" : "OBJECTIVE To determine the feasibility of conducting a randomised controlled trial of a specialist physiotherapy intervention for functional motor symptoms (FMS). METHODS A randomised feasibility study was conducted recruiting patients with a clinically established diagnosis of FMS from a tertiary neurology clinic in London, UK. Participants were randomised to the intervention or a treatment as usual control. Measures of feasibility and clinical outcome were collected and assessed at 6 months. RESULTS 60 individuals were recruited over a 9-month period. Three withdrew, leaving 29 intervention and 28 controls participants in the final analysis. 32% of patients with FMS met the inclusion criteria, of which 90% enrolled. Acceptability of the intervention was high and there were no adverse events. At 6 months, 72% of the intervention group rated their symptoms as improved, compared to 18% in the control group. There was a moderate to large treatment effect across a range of outcomes, including three of eight Short Form 36 (SF36) domains (d=0.46-0.79). The SF36 Physical function was found to be a suitable primary outcome measure for a future trial; adjusted mean difference 19.8 (95% CI 10.2 to 29.5). The additional quality adjusted life years (QALY) with intervention was 0.08 (95% CI 0.03 to 0.13), the mean incremental cost per QALY gained was \u00a312 087. CONCLUSIONS This feasibility study demonstrated high rates of recruitment, retention and acceptability. Clinical effect size was moderate to large with high probability of being cost-effective. A randomised controlled trial is needed. TRIAL REGISTRATION NUMBER NCT02275000; Results.", "author" : [ { "dropping-particle" : "", "family" : "Nielsen", "given" : "G", "non-dropping-particle" : "", "parse-names" : false, "suffix" : "" }, { "dropping-particle" : "", "family" : "Buszewicz", "given" : "M", "non-dropping-particle" : "", "parse-names" : false, "suffix" : "" }, { "dropping-particle" : "", "family" : "Stevenson", "given" : "F", "non-dropping-particle" : "", "parse-names" : false, "suffix" : "" }, { "dropping-particle" : "", "family" : "Hunter", "given" : "R", "non-dropping-particle" : "", "parse-names" : false, "suffix" : "" }, { "dropping-particle" : "", "family" : "Holt", "given" : "K", "non-dropping-particle" : "", "parse-names" : false, "suffix" : "" }, { "dropping-particle" : "", "family" : "Dudziec", "given" : "M", "non-dropping-particle" : "", "parse-names" : false, "suffix" : "" }, { "dropping-particle" : "", "family" : "Ricciardi", "given" : "L", "non-dropping-particle" : "", "parse-names" : false, "suffix" : "" }, { "dropping-particle" : "", "family" : "Marsden", "given" : "J", "non-dropping-particle" : "", "parse-names" : false, "suffix" : "" }, { "dropping-particle" : "", "family" : "Joyce", "given" : "E", "non-dropping-particle" : "", "parse-names" : false, "suffix" : "" }, { "dropping-particle" : "", "family" : "Edwards", "given" : "Mark J", "non-dropping-particle" : "", "parse-names" : false, "suffix" : "" } ], "container-title" : "Journal of Neurology, Neurosurgery &amp; Psychiatry", "id" : "ITEM-1", "issued" : { "date-parts" : [ [ "2016", "9", "30" ] ] }, "page" : "jnnp-2016-314408", "publisher" : "BMJ Publishing Group Ltd", "title" : "Randomised Feasibility Study of Physiotherapy for Patients with Functional Motor Symptoms", "type" : "article-journal", "volume" : "online fir" }, "uris" : [ "http://www.mendeley.com/documents/?uuid=e4c29339-ca67-41ee-865f-fdef7292089e" ] } ], "mendeley" : { "formattedCitation" : "&lt;sup&gt;15&lt;/sup&gt;", "plainTextFormattedCitation" : "15", "previouslyFormattedCitation" : "&lt;sup&gt;15&lt;/sup&gt;" }, "properties" : { "noteIndex" : 0 }, "schema" : "https://github.com/citation-style-language/schema/raw/master/csl-citation.json" }</w:instrText>
      </w:r>
      <w:r w:rsidR="00C94EA4">
        <w:fldChar w:fldCharType="separate"/>
      </w:r>
      <w:r w:rsidR="00C94EA4" w:rsidRPr="00C94EA4">
        <w:rPr>
          <w:noProof/>
          <w:vertAlign w:val="superscript"/>
        </w:rPr>
        <w:t>15</w:t>
      </w:r>
      <w:r w:rsidR="00C94EA4">
        <w:fldChar w:fldCharType="end"/>
      </w:r>
      <w:r>
        <w:t xml:space="preserve">. In summary, 60 patients with FMD were randomised to </w:t>
      </w:r>
      <w:r w:rsidR="004247B5">
        <w:t xml:space="preserve">receive </w:t>
      </w:r>
      <w:r>
        <w:t>a specia</w:t>
      </w:r>
      <w:r w:rsidR="001E5F61">
        <w:t>lised intensive 5-day</w:t>
      </w:r>
      <w:r>
        <w:t xml:space="preserve"> intervention</w:t>
      </w:r>
      <w:r w:rsidR="00C022F3">
        <w:t xml:space="preserve"> (intervention group)</w:t>
      </w:r>
      <w:r>
        <w:t xml:space="preserve"> or referral to</w:t>
      </w:r>
      <w:r w:rsidR="00C022F3">
        <w:t xml:space="preserve"> standard</w:t>
      </w:r>
      <w:r w:rsidR="001E5F61">
        <w:t xml:space="preserve"> community neuro</w:t>
      </w:r>
      <w:r>
        <w:t>physiotherapy</w:t>
      </w:r>
      <w:r w:rsidR="00C022F3">
        <w:t xml:space="preserve"> (control group)</w:t>
      </w:r>
      <w:r>
        <w:t xml:space="preserve">. </w:t>
      </w:r>
      <w:r w:rsidR="001A0DAD">
        <w:t>Video was taken at baseline and at six months following treatment.</w:t>
      </w:r>
    </w:p>
    <w:p w14:paraId="41125EC3" w14:textId="535F5B31" w:rsidR="008E1CAA" w:rsidRDefault="008E1CAA" w:rsidP="006F7977">
      <w:pPr>
        <w:pStyle w:val="Heading2"/>
      </w:pPr>
      <w:r w:rsidRPr="00E44ADB">
        <w:t>Analysis</w:t>
      </w:r>
    </w:p>
    <w:p w14:paraId="03975D08" w14:textId="7B84769E" w:rsidR="000910DE" w:rsidRDefault="000910DE" w:rsidP="000910DE">
      <w:r>
        <w:t xml:space="preserve">A sample size of 52 was chosen using a sample size calculation based on an estimated </w:t>
      </w:r>
      <w:proofErr w:type="spellStart"/>
      <w:r>
        <w:t>intraclass</w:t>
      </w:r>
      <w:proofErr w:type="spellEnd"/>
      <w:r>
        <w:t xml:space="preserve"> correlation coefficient (ICC) of 0.8, for 2 </w:t>
      </w:r>
      <w:proofErr w:type="spellStart"/>
      <w:r>
        <w:t>raters</w:t>
      </w:r>
      <w:proofErr w:type="spellEnd"/>
      <w:r>
        <w:t xml:space="preserve"> with a</w:t>
      </w:r>
      <w:r w:rsidR="00825D05">
        <w:t xml:space="preserve"> 95% confidence interval width of 0.2</w:t>
      </w:r>
      <w:r w:rsidR="00091BA8">
        <w:fldChar w:fldCharType="begin" w:fldLock="1"/>
      </w:r>
      <w:r w:rsidR="00A92E4D">
        <w:instrText>ADDIN CSL_CITATION { "citationItems" : [ { "id" : "ITEM-1", "itemData" : { "DOI" : "10.1002/sim.1108", "ISSN" : "0277-6715", "PMID" : "12111881", "abstract" : "A method is developed to calculate the approximate number of subjects required to obtain an exact confidence interval of desired width for certain types of intraclass correlations in one-way and two-way ANOVA models. The sample size approximation is shown to be very accurate.", "author" : [ { "dropping-particle" : "", "family" : "Bonett", "given" : "Douglas G", "non-dropping-particle" : "", "parse-names" : false, "suffix" : "" } ], "container-title" : "Statistics in medicine", "id" : "ITEM-1", "issue" : "9", "issued" : { "date-parts" : [ [ "2002", "5", "15" ] ] }, "page" : "1331-5", "title" : "Sample size requirements for estimating intraclass correlations with desired precision.", "type" : "article-journal", "volume" : "21" }, "uris" : [ "http://www.mendeley.com/documents/?uuid=0697a9fd-0e68-3863-a196-ab7c3a5bf32b" ] } ], "mendeley" : { "formattedCitation" : "&lt;sup&gt;18&lt;/sup&gt;", "plainTextFormattedCitation" : "18", "previouslyFormattedCitation" : "&lt;sup&gt;18&lt;/sup&gt;" }, "properties" : { "noteIndex" : 0 }, "schema" : "https://github.com/citation-style-language/schema/raw/master/csl-citation.json" }</w:instrText>
      </w:r>
      <w:r w:rsidR="00091BA8">
        <w:fldChar w:fldCharType="separate"/>
      </w:r>
      <w:r w:rsidR="00A92E4D" w:rsidRPr="00A92E4D">
        <w:rPr>
          <w:noProof/>
          <w:vertAlign w:val="superscript"/>
        </w:rPr>
        <w:t>18</w:t>
      </w:r>
      <w:r w:rsidR="00091BA8">
        <w:fldChar w:fldCharType="end"/>
      </w:r>
      <w:r w:rsidR="00091BA8">
        <w:t>.</w:t>
      </w:r>
      <w:r>
        <w:t xml:space="preserve"> </w:t>
      </w:r>
    </w:p>
    <w:p w14:paraId="0C533E34" w14:textId="10B9322A" w:rsidR="007F7FBF" w:rsidRDefault="008E1CAA" w:rsidP="008E1CAA">
      <w:r>
        <w:t xml:space="preserve">Interrater reliability was assessed using </w:t>
      </w:r>
      <w:r w:rsidR="009A2661">
        <w:t>ICC</w:t>
      </w:r>
      <w:r>
        <w:t xml:space="preserve"> (2 way ran</w:t>
      </w:r>
      <w:r w:rsidR="00C00BC5">
        <w:t xml:space="preserve">dom effects-absolute agreement, </w:t>
      </w:r>
      <w:r>
        <w:t>ICC</w:t>
      </w:r>
      <w:r w:rsidRPr="005F1A38">
        <w:rPr>
          <w:vertAlign w:val="subscript"/>
        </w:rPr>
        <w:t>(2,1)</w:t>
      </w:r>
      <w:r w:rsidR="00C00BC5">
        <w:t>) for score totals</w:t>
      </w:r>
      <w:r>
        <w:t xml:space="preserve"> and </w:t>
      </w:r>
      <w:r w:rsidR="00F67FBF">
        <w:t xml:space="preserve">Light’s </w:t>
      </w:r>
      <w:proofErr w:type="spellStart"/>
      <w:r>
        <w:t>kappa</w:t>
      </w:r>
      <w:proofErr w:type="spellEnd"/>
      <w:r w:rsidR="00862361">
        <w:fldChar w:fldCharType="begin" w:fldLock="1"/>
      </w:r>
      <w:r w:rsidR="00C022F3">
        <w:instrText>ADDIN CSL_CITATION { "citationItems" : [ { "id" : "ITEM-1", "itemData" : { "PMID" : "22833776", "abstract" : "Many research designs require the assessment of inter-rater reliability (IRR) to demonstrate consistency among observational ratings provided by multiple coders. However, many studies use incorrect statistical procedures, fail to fully report the information necessary to interpret their results, or do not address how IRR affects the power of their subsequent analyses for hypothesis testing. This paper provides an overview of methodological issues related to the assessment of IRR with a focus on study design, selection of appropriate statistics, and the computation, interpretation, and reporting of some commonly-used IRR statistics. Computational examples include SPSS and R syntax for computing Cohen's kappa and intra-class correlations to assess IRR.", "author" : [ { "dropping-particle" : "", "family" : "Hallgren", "given" : "Kevin A", "non-dropping-particle" : "", "parse-names" : false, "suffix" : "" } ], "container-title" : "Tutorials in quantitative methods for psychology", "id" : "ITEM-1", "issue" : "1", "issued" : { "date-parts" : [ [ "2012" ] ] }, "page" : "23-34", "publisher" : "NIH Public Access", "title" : "Computing Inter-Rater Reliability for Observational Data: An Overview and Tutorial.", "type" : "article-journal", "volume" : "8" }, "uris" : [ "http://www.mendeley.com/documents/?uuid=fcb23b4d-ffd0-38ea-adf8-c0490c8ab03b" ] } ], "mendeley" : { "formattedCitation" : "&lt;sup&gt;19&lt;/sup&gt;", "plainTextFormattedCitation" : "19", "previouslyFormattedCitation" : "&lt;sup&gt;19&lt;/sup&gt;" }, "properties" : { "noteIndex" : 0 }, "schema" : "https://github.com/citation-style-language/schema/raw/master/csl-citation.json" }</w:instrText>
      </w:r>
      <w:r w:rsidR="00862361">
        <w:fldChar w:fldCharType="separate"/>
      </w:r>
      <w:r w:rsidR="00862361" w:rsidRPr="00DF4C79">
        <w:rPr>
          <w:noProof/>
          <w:vertAlign w:val="superscript"/>
        </w:rPr>
        <w:t>19</w:t>
      </w:r>
      <w:r w:rsidR="00862361">
        <w:fldChar w:fldCharType="end"/>
      </w:r>
      <w:r>
        <w:t xml:space="preserve"> for agreement on classification of movement disorder (PMDRS)  and the presence of symptoms at each body region/function (</w:t>
      </w:r>
      <w:r w:rsidR="00321BD1">
        <w:t>both scales</w:t>
      </w:r>
      <w:r>
        <w:t xml:space="preserve">). </w:t>
      </w:r>
      <w:r w:rsidR="00AE50B1">
        <w:t>Concurrent</w:t>
      </w:r>
      <w:r>
        <w:t xml:space="preserve"> validity was explored using Spearman’s correlation, comparing total </w:t>
      </w:r>
      <w:r w:rsidR="00203C6F">
        <w:t>S-FMDRS</w:t>
      </w:r>
      <w:r>
        <w:t xml:space="preserve"> scores to the PMDRS scores, SF36 Physical Function domain scores and 10 metre walk times.</w:t>
      </w:r>
      <w:r w:rsidR="00B306B9">
        <w:t xml:space="preserve"> </w:t>
      </w:r>
      <w:r w:rsidR="00494ED2">
        <w:t xml:space="preserve">To assess sensitivity of the </w:t>
      </w:r>
      <w:r w:rsidR="00203C6F">
        <w:t>S-FMDRS</w:t>
      </w:r>
      <w:r w:rsidR="00494ED2">
        <w:t xml:space="preserve">, </w:t>
      </w:r>
      <w:r w:rsidR="007F7FBF">
        <w:t xml:space="preserve">the </w:t>
      </w:r>
      <w:r w:rsidR="0010754E">
        <w:t xml:space="preserve">mean </w:t>
      </w:r>
      <w:r w:rsidR="007F7FBF">
        <w:t>difference between the</w:t>
      </w:r>
      <w:r w:rsidR="00B306B9">
        <w:t xml:space="preserve"> </w:t>
      </w:r>
      <w:r w:rsidR="007F7FBF">
        <w:t>intervention and control groups</w:t>
      </w:r>
      <w:r w:rsidR="00494ED2">
        <w:t xml:space="preserve"> of the feasibility study </w:t>
      </w:r>
      <w:r w:rsidR="007F7FBF" w:rsidRPr="007F7FBF">
        <w:t>was assessed using a linear regression model, adjusting for the b</w:t>
      </w:r>
      <w:r w:rsidR="007F7FBF">
        <w:t xml:space="preserve">aseline scores of the </w:t>
      </w:r>
      <w:proofErr w:type="spellStart"/>
      <w:r w:rsidR="007F7FBF">
        <w:t>measure</w:t>
      </w:r>
      <w:proofErr w:type="spellEnd"/>
      <w:r w:rsidR="00977C5C">
        <w:fldChar w:fldCharType="begin" w:fldLock="1"/>
      </w:r>
      <w:r w:rsidR="00DF4C79">
        <w:instrText>ADDIN CSL_CITATION { "citationItems" : [ { "id" : "ITEM-1", "itemData" : { "DOI" : "10.1136/bmj.323.7321.1123", "ISSN" : "0959-8138", "PMID" : "11701584", "abstract" : "In many randomised trials researchers measure a continuous variable at baseline and again as an outcome assessed at follow up. Baseline measurements are common in trials of chronic conditions where researchers want to see whether a treatment can reduce pre-existing levels of pain, anxiety, hypertension, and the like.\n\nStatistical comparisons in such trials can be made in several ways. Comparison of follow up (post-treatment) scores will give a result such as \u201cat the end of the trial, mean pain scores were 15 mm (95% confidence interval 10 to 20 mm) lower in the treatment group.\u201d Alternatively a change score can be calculated by subtracting the follow up score from the baseline score, leading to a statement such as \u201cpain reductions were 20 mm (16 to 24 mm) greater on treatment than control.\u201d If the average baseline scores are the same in each group the estimated treatment effect will be the same using these two simple approaches. If the treatment is effective the statistical significance of the treatment effect by the two methods will depend on the correlation between baseline and follow up scores. If the correlation is low using the change score will \u2026", "author" : [ { "dropping-particle" : "", "family" : "Vickers", "given" : "A J", "non-dropping-particle" : "", "parse-names" : false, "suffix" : "" }, { "dropping-particle" : "", "family" : "Altman", "given" : "D G", "non-dropping-particle" : "", "parse-names" : false, "suffix" : "" } ], "container-title" : "BMJ (Clinical research ed.)", "id" : "ITEM-1", "issue" : "7321", "issued" : { "date-parts" : [ [ "2001", "11", "10" ] ] }, "page" : "1123-4", "publisher" : "British Medical Journal Publishing Group", "title" : "Statistics notes: Analysing controlled trials with baseline and follow up measurements.", "type" : "article-journal", "volume" : "323" }, "uris" : [ "http://www.mendeley.com/documents/?uuid=17814b5c-f3b6-3a09-90c7-41e597b33b03" ] } ], "mendeley" : { "formattedCitation" : "&lt;sup&gt;20&lt;/sup&gt;", "plainTextFormattedCitation" : "20", "previouslyFormattedCitation" : "&lt;sup&gt;20&lt;/sup&gt;" }, "properties" : { "noteIndex" : 0 }, "schema" : "https://github.com/citation-style-language/schema/raw/master/csl-citation.json" }</w:instrText>
      </w:r>
      <w:r w:rsidR="00977C5C">
        <w:fldChar w:fldCharType="separate"/>
      </w:r>
      <w:r w:rsidR="00DF4C79" w:rsidRPr="00DF4C79">
        <w:rPr>
          <w:noProof/>
          <w:vertAlign w:val="superscript"/>
        </w:rPr>
        <w:t>20</w:t>
      </w:r>
      <w:r w:rsidR="00977C5C">
        <w:fldChar w:fldCharType="end"/>
      </w:r>
      <w:r w:rsidR="007F7FBF">
        <w:t>. A t</w:t>
      </w:r>
      <w:r w:rsidR="007F7FBF" w:rsidRPr="007F7FBF">
        <w:t xml:space="preserve">reatment effect was calculated using Cohen’s </w:t>
      </w:r>
      <w:r w:rsidR="007F7FBF" w:rsidRPr="007F7FBF">
        <w:rPr>
          <w:i/>
        </w:rPr>
        <w:t>d</w:t>
      </w:r>
      <w:r w:rsidR="007F7FBF" w:rsidRPr="007F7FBF">
        <w:t xml:space="preserve"> </w:t>
      </w:r>
      <w:r w:rsidR="007F7FBF">
        <w:fldChar w:fldCharType="begin" w:fldLock="1"/>
      </w:r>
      <w:r w:rsidR="00DF4C79">
        <w:instrText>ADDIN CSL_CITATION { "citationItems" : [ { "id" : "ITEM-1", "itemData" : { "DOI" : "10.1136/bmj.e7370", "ISSN" : "1756-1833", "author" : [ { "dropping-particle" : "", "family" : "Sedgwick", "given" : "P.", "non-dropping-particle" : "", "parse-names" : false, "suffix" : "" } ], "container-title" : "BMJ", "id" : "ITEM-1", "issue" : "nov05 1", "issued" : { "date-parts" : [ [ "2012", "11", "5" ] ] }, "page" : "e7370", "title" : "Effect sizes", "type" : "article-journal", "volume" : "345" }, "uris" : [ "http://www.mendeley.com/documents/?uuid=de48a431-e5d0-4bf3-8c3b-2f76415143d6" ] } ], "mendeley" : { "formattedCitation" : "&lt;sup&gt;21&lt;/sup&gt;", "plainTextFormattedCitation" : "21", "previouslyFormattedCitation" : "&lt;sup&gt;21&lt;/sup&gt;" }, "properties" : { "noteIndex" : 0 }, "schema" : "https://github.com/citation-style-language/schema/raw/master/csl-citation.json" }</w:instrText>
      </w:r>
      <w:r w:rsidR="007F7FBF">
        <w:fldChar w:fldCharType="separate"/>
      </w:r>
      <w:r w:rsidR="00DF4C79" w:rsidRPr="00DF4C79">
        <w:rPr>
          <w:noProof/>
          <w:vertAlign w:val="superscript"/>
        </w:rPr>
        <w:t>21</w:t>
      </w:r>
      <w:r w:rsidR="007F7FBF">
        <w:fldChar w:fldCharType="end"/>
      </w:r>
      <w:r w:rsidR="007F7FBF">
        <w:t>.</w:t>
      </w:r>
      <w:r w:rsidR="001629C8">
        <w:t xml:space="preserve"> </w:t>
      </w:r>
      <w:r w:rsidR="007F7FBF">
        <w:t>Statistical analysis was conducted using SPSS version 22.</w:t>
      </w:r>
    </w:p>
    <w:p w14:paraId="2B58C009" w14:textId="77777777" w:rsidR="008E1CAA" w:rsidRDefault="008E1CAA" w:rsidP="008E1CAA">
      <w:pPr>
        <w:pStyle w:val="Heading1"/>
      </w:pPr>
      <w:r>
        <w:t>Results</w:t>
      </w:r>
    </w:p>
    <w:p w14:paraId="757E31BF" w14:textId="39880E49" w:rsidR="00FC2491" w:rsidRPr="00E90097" w:rsidRDefault="00FC2491" w:rsidP="00FC2491">
      <w:r w:rsidRPr="00E90097">
        <w:t>The mean age of participants</w:t>
      </w:r>
      <w:r w:rsidR="007F7FBF">
        <w:t xml:space="preserve"> in the reliability assessment sample</w:t>
      </w:r>
      <w:r w:rsidRPr="00E90097">
        <w:t xml:space="preserve"> was 43 (SD 13.4), 73% were </w:t>
      </w:r>
      <w:r w:rsidR="00A343E5">
        <w:t>female</w:t>
      </w:r>
      <w:r w:rsidRPr="00E90097">
        <w:t xml:space="preserve">, the mean symptom duration was 5.6 years (SD 6.7). Participants presented with primary complaints of gait disturbance (25%), tremor (20%), </w:t>
      </w:r>
      <w:r w:rsidR="004619BC" w:rsidRPr="00E90097">
        <w:t xml:space="preserve">weakness (12%), </w:t>
      </w:r>
      <w:r w:rsidRPr="00E90097">
        <w:t>jerks (4%), and mixed movement disorder symptoms (39%).</w:t>
      </w:r>
      <w:r w:rsidR="00750C7A">
        <w:t xml:space="preserve"> Reliability values are presented in table 1.</w:t>
      </w:r>
    </w:p>
    <w:p w14:paraId="20098F6F" w14:textId="3FCF8AB6" w:rsidR="00FC2491" w:rsidRPr="00E90097" w:rsidRDefault="00C00BC5" w:rsidP="00FC2491">
      <w:pPr>
        <w:pStyle w:val="Heading2"/>
      </w:pPr>
      <w:proofErr w:type="spellStart"/>
      <w:r>
        <w:t>Intraclass</w:t>
      </w:r>
      <w:proofErr w:type="spellEnd"/>
      <w:r>
        <w:t xml:space="preserve"> Correlation Coefficient</w:t>
      </w:r>
    </w:p>
    <w:p w14:paraId="3AC72121" w14:textId="45289728" w:rsidR="00FC2491" w:rsidRPr="00E90097" w:rsidRDefault="00FC2491" w:rsidP="00FC2491">
      <w:proofErr w:type="gramStart"/>
      <w:r w:rsidRPr="00E90097">
        <w:t>ICC</w:t>
      </w:r>
      <w:r w:rsidRPr="00E90097">
        <w:rPr>
          <w:vertAlign w:val="subscript"/>
        </w:rPr>
        <w:t>(</w:t>
      </w:r>
      <w:proofErr w:type="gramEnd"/>
      <w:r w:rsidRPr="00E90097">
        <w:rPr>
          <w:vertAlign w:val="subscript"/>
        </w:rPr>
        <w:t>2,1)</w:t>
      </w:r>
      <w:r w:rsidRPr="00E90097">
        <w:t xml:space="preserve"> for </w:t>
      </w:r>
      <w:r w:rsidR="00ED09D3">
        <w:t xml:space="preserve">the neurologists </w:t>
      </w:r>
      <w:r w:rsidRPr="00E90097">
        <w:t>was 0.84 (95% CI 0.7</w:t>
      </w:r>
      <w:r w:rsidR="00E9523F">
        <w:t>5</w:t>
      </w:r>
      <w:r w:rsidRPr="00E90097">
        <w:t>, 0.9</w:t>
      </w:r>
      <w:r w:rsidR="00E9523F">
        <w:t>0</w:t>
      </w:r>
      <w:r w:rsidRPr="00E90097">
        <w:t>) for the PMDRS total score, and 0.8</w:t>
      </w:r>
      <w:r w:rsidR="00E9523F">
        <w:t>5</w:t>
      </w:r>
      <w:r w:rsidRPr="00E90097">
        <w:t xml:space="preserve"> (95% CI 0.7</w:t>
      </w:r>
      <w:r w:rsidR="00E9523F">
        <w:t>7</w:t>
      </w:r>
      <w:r w:rsidRPr="00E90097">
        <w:t xml:space="preserve">, 0.90) for </w:t>
      </w:r>
      <w:r w:rsidR="00203C6F">
        <w:t>S-FMDRS</w:t>
      </w:r>
      <w:r w:rsidRPr="00E90097">
        <w:t xml:space="preserve"> total score. </w:t>
      </w:r>
      <w:proofErr w:type="gramStart"/>
      <w:r w:rsidRPr="00E90097">
        <w:t>ICC</w:t>
      </w:r>
      <w:r w:rsidRPr="00E90097">
        <w:rPr>
          <w:vertAlign w:val="subscript"/>
        </w:rPr>
        <w:t>(</w:t>
      </w:r>
      <w:proofErr w:type="gramEnd"/>
      <w:r w:rsidRPr="00E90097">
        <w:rPr>
          <w:vertAlign w:val="subscript"/>
        </w:rPr>
        <w:t>2,1)</w:t>
      </w:r>
      <w:r w:rsidRPr="00E90097">
        <w:t xml:space="preserve"> for </w:t>
      </w:r>
      <w:r w:rsidR="00ED09D3">
        <w:t>the neurologist-</w:t>
      </w:r>
      <w:r w:rsidRPr="00E90097">
        <w:t>physiotherapist</w:t>
      </w:r>
      <w:r w:rsidR="00ED09D3">
        <w:t xml:space="preserve"> </w:t>
      </w:r>
      <w:r w:rsidR="00203C6F">
        <w:t>S-FMDRS</w:t>
      </w:r>
      <w:r w:rsidR="00ED09D3">
        <w:t xml:space="preserve"> total score comparison </w:t>
      </w:r>
      <w:r w:rsidRPr="00E90097">
        <w:t>was 0.85 (95% CI 0.7</w:t>
      </w:r>
      <w:r w:rsidR="00E9523F">
        <w:t>6</w:t>
      </w:r>
      <w:r w:rsidRPr="00E90097">
        <w:t>, 0.91).</w:t>
      </w:r>
    </w:p>
    <w:p w14:paraId="5F108C73" w14:textId="413BC175" w:rsidR="00FC2491" w:rsidRPr="00E90097" w:rsidRDefault="00F67FBF" w:rsidP="00FC2491">
      <w:pPr>
        <w:pStyle w:val="Heading2"/>
      </w:pPr>
      <w:r>
        <w:lastRenderedPageBreak/>
        <w:t xml:space="preserve">Light’s </w:t>
      </w:r>
      <w:r w:rsidR="00C00BC5">
        <w:t>kappa</w:t>
      </w:r>
    </w:p>
    <w:p w14:paraId="4060F455" w14:textId="1B0F854E" w:rsidR="00FC2491" w:rsidRDefault="00F67FBF" w:rsidP="00FC2491">
      <w:r>
        <w:t>Light</w:t>
      </w:r>
      <w:r w:rsidRPr="00E90097">
        <w:t xml:space="preserve">’s </w:t>
      </w:r>
      <w:r w:rsidR="00FC2491" w:rsidRPr="00E90097">
        <w:t xml:space="preserve">kappa for </w:t>
      </w:r>
      <w:r w:rsidR="00FC2491">
        <w:t xml:space="preserve">PMDRS movement disorder classification (phenomenology) ranged </w:t>
      </w:r>
      <w:r w:rsidR="004619BC">
        <w:t xml:space="preserve">from </w:t>
      </w:r>
      <w:r w:rsidR="000D5836">
        <w:t xml:space="preserve">no </w:t>
      </w:r>
      <w:r w:rsidR="004619BC">
        <w:t>agreement</w:t>
      </w:r>
      <w:r w:rsidR="00ED09D3">
        <w:t xml:space="preserve"> </w:t>
      </w:r>
      <w:r w:rsidR="004619BC">
        <w:t>for functional tics</w:t>
      </w:r>
      <w:r w:rsidR="000D5836">
        <w:t xml:space="preserve">, </w:t>
      </w:r>
      <w:proofErr w:type="spellStart"/>
      <w:r w:rsidR="000D5836">
        <w:t>athetosis</w:t>
      </w:r>
      <w:proofErr w:type="spellEnd"/>
      <w:r w:rsidR="000D5836">
        <w:t xml:space="preserve"> and cerebellar-like incoordination</w:t>
      </w:r>
      <w:r w:rsidR="00FC2491">
        <w:t xml:space="preserve"> to </w:t>
      </w:r>
      <w:r w:rsidR="00ED09D3">
        <w:t>high agreement for resting tremor</w:t>
      </w:r>
      <w:r w:rsidR="00580526">
        <w:t xml:space="preserve"> </w:t>
      </w:r>
      <w:r w:rsidR="004619BC">
        <w:t xml:space="preserve">(ICC </w:t>
      </w:r>
      <w:r w:rsidR="00580526">
        <w:t>0.</w:t>
      </w:r>
      <w:r w:rsidR="000D5836">
        <w:t>80</w:t>
      </w:r>
      <w:r w:rsidR="004619BC">
        <w:t xml:space="preserve">, </w:t>
      </w:r>
      <w:r w:rsidR="00FC2491">
        <w:t>95% CI 0.</w:t>
      </w:r>
      <w:r w:rsidR="000D5836">
        <w:t>73</w:t>
      </w:r>
      <w:r w:rsidR="00FC2491">
        <w:t>, 0.</w:t>
      </w:r>
      <w:r w:rsidR="000D5836">
        <w:t>87</w:t>
      </w:r>
      <w:r w:rsidR="00FC2491">
        <w:t xml:space="preserve">). Agreement for PMDRS </w:t>
      </w:r>
      <w:r w:rsidR="004619BC">
        <w:t xml:space="preserve">symptomatic </w:t>
      </w:r>
      <w:r w:rsidR="00FC2491">
        <w:t>body region</w:t>
      </w:r>
      <w:r w:rsidR="004619BC">
        <w:t>s</w:t>
      </w:r>
      <w:r w:rsidR="00FC2491">
        <w:t xml:space="preserve"> ranged from 0.</w:t>
      </w:r>
      <w:r w:rsidR="00707CF7">
        <w:t>10</w:t>
      </w:r>
      <w:r w:rsidR="00ED09D3">
        <w:t xml:space="preserve"> for the</w:t>
      </w:r>
      <w:r w:rsidR="000F0F5B">
        <w:t xml:space="preserve"> jaw</w:t>
      </w:r>
      <w:r w:rsidR="00FC2491">
        <w:t xml:space="preserve"> (95% CI 0.</w:t>
      </w:r>
      <w:r w:rsidR="00707CF7">
        <w:t>09</w:t>
      </w:r>
      <w:r w:rsidR="00FC2491">
        <w:t>, 0.</w:t>
      </w:r>
      <w:r w:rsidR="00707CF7">
        <w:t>11</w:t>
      </w:r>
      <w:r w:rsidR="00FC2491">
        <w:t>) to 0.</w:t>
      </w:r>
      <w:r w:rsidR="00707CF7">
        <w:t>66</w:t>
      </w:r>
      <w:r w:rsidR="00ED09D3">
        <w:t xml:space="preserve"> for </w:t>
      </w:r>
      <w:r w:rsidR="00707CF7">
        <w:t>the trunk</w:t>
      </w:r>
      <w:r w:rsidR="00FC2491">
        <w:t xml:space="preserve"> </w:t>
      </w:r>
      <w:r w:rsidR="00FC2491" w:rsidRPr="00E90097">
        <w:t>(</w:t>
      </w:r>
      <w:r w:rsidR="00FC2491">
        <w:t xml:space="preserve">95% CI </w:t>
      </w:r>
      <w:r w:rsidR="00FC2491" w:rsidRPr="00E90097">
        <w:t>0.</w:t>
      </w:r>
      <w:r w:rsidR="00707CF7">
        <w:t>57</w:t>
      </w:r>
      <w:r w:rsidR="00FC2491" w:rsidRPr="00E90097">
        <w:t>, 0.</w:t>
      </w:r>
      <w:r w:rsidR="00707CF7">
        <w:t>75</w:t>
      </w:r>
      <w:r w:rsidR="00FC2491" w:rsidRPr="00E90097">
        <w:t>)</w:t>
      </w:r>
      <w:r w:rsidR="00FC2491">
        <w:t xml:space="preserve">. Agreement for </w:t>
      </w:r>
      <w:r w:rsidR="00203C6F">
        <w:t>S-FMDRS</w:t>
      </w:r>
      <w:r w:rsidR="00FC2491">
        <w:t xml:space="preserve"> body region</w:t>
      </w:r>
      <w:r w:rsidR="00E80975">
        <w:t>s</w:t>
      </w:r>
      <w:r w:rsidR="00FC2491">
        <w:t xml:space="preserve"> ranged from 0.3</w:t>
      </w:r>
      <w:r w:rsidR="00707CF7">
        <w:t>6</w:t>
      </w:r>
      <w:r w:rsidR="00ED09D3">
        <w:t xml:space="preserve"> for </w:t>
      </w:r>
      <w:r w:rsidR="00707CF7">
        <w:t>left lower limb</w:t>
      </w:r>
      <w:r w:rsidR="00FC2491">
        <w:t xml:space="preserve"> (95% CI 0.</w:t>
      </w:r>
      <w:r w:rsidR="00707CF7">
        <w:t>32</w:t>
      </w:r>
      <w:r w:rsidR="00FC2491">
        <w:t>, 0.</w:t>
      </w:r>
      <w:r w:rsidR="00707CF7">
        <w:t>41</w:t>
      </w:r>
      <w:r w:rsidR="00FC2491">
        <w:t>) to 0.</w:t>
      </w:r>
      <w:r w:rsidR="00BA1D27">
        <w:t>6</w:t>
      </w:r>
      <w:r w:rsidR="00FC2491">
        <w:t>3</w:t>
      </w:r>
      <w:r w:rsidR="00ED09D3">
        <w:t xml:space="preserve"> for </w:t>
      </w:r>
      <w:r w:rsidR="00BA1D27">
        <w:t>the trunk</w:t>
      </w:r>
      <w:r w:rsidR="00FC2491">
        <w:t xml:space="preserve"> (95% CI 0.55, 0.</w:t>
      </w:r>
      <w:r w:rsidR="00BA1D27">
        <w:t>7</w:t>
      </w:r>
      <w:r w:rsidR="00FC2491">
        <w:t>1).</w:t>
      </w:r>
      <w:r w:rsidR="00750C7A">
        <w:t xml:space="preserve"> </w:t>
      </w:r>
      <w:r w:rsidR="00ED09D3">
        <w:t>Agreement on the presence of symptoms during gait was 0.</w:t>
      </w:r>
      <w:r w:rsidR="00BA1D27">
        <w:t>70</w:t>
      </w:r>
      <w:r w:rsidR="00ED09D3">
        <w:t xml:space="preserve"> (95% CI 0.</w:t>
      </w:r>
      <w:r w:rsidR="00BA1D27">
        <w:t>62</w:t>
      </w:r>
      <w:r w:rsidR="00ED09D3">
        <w:t>, 0.</w:t>
      </w:r>
      <w:r w:rsidR="00BA1D27">
        <w:t>78</w:t>
      </w:r>
      <w:r w:rsidR="00ED09D3">
        <w:t>) and speech 0.6</w:t>
      </w:r>
      <w:r w:rsidR="00BA1D27">
        <w:t>6</w:t>
      </w:r>
      <w:r w:rsidR="00ED09D3">
        <w:t xml:space="preserve"> (95% CI 0.</w:t>
      </w:r>
      <w:r w:rsidR="00BA1D27">
        <w:t>57</w:t>
      </w:r>
      <w:r w:rsidR="00ED09D3">
        <w:t>, 0.</w:t>
      </w:r>
      <w:r w:rsidR="00BA1D27">
        <w:t>76</w:t>
      </w:r>
      <w:r w:rsidR="00ED09D3">
        <w:t xml:space="preserve">) for both scales. </w:t>
      </w:r>
    </w:p>
    <w:p w14:paraId="6A326B13" w14:textId="77777777" w:rsidR="00FC2491" w:rsidRPr="00E90097" w:rsidRDefault="00FC2491" w:rsidP="00FC2491">
      <w:pPr>
        <w:pStyle w:val="Heading2"/>
      </w:pPr>
      <w:r w:rsidRPr="00E90097">
        <w:t xml:space="preserve">Validity </w:t>
      </w:r>
    </w:p>
    <w:p w14:paraId="3A0250F4" w14:textId="22EAFF8F" w:rsidR="00FC2491" w:rsidRDefault="00FC2491" w:rsidP="00FC2491">
      <w:r>
        <w:t xml:space="preserve">Spearman’s correlation between PMDRS and </w:t>
      </w:r>
      <w:r w:rsidR="00203C6F">
        <w:t>S-FMDRS</w:t>
      </w:r>
      <w:r>
        <w:t xml:space="preserve"> total scores was 0.8</w:t>
      </w:r>
      <w:r w:rsidR="00D762BD">
        <w:t>6</w:t>
      </w:r>
      <w:r>
        <w:t xml:space="preserve"> (p&lt;0.001) for </w:t>
      </w:r>
      <w:r w:rsidR="00580526">
        <w:t>neurologist</w:t>
      </w:r>
      <w:r>
        <w:t xml:space="preserve"> one</w:t>
      </w:r>
      <w:r w:rsidR="00D762BD">
        <w:t>;</w:t>
      </w:r>
      <w:r>
        <w:t xml:space="preserve"> 0.95 (p&lt;0.001) for </w:t>
      </w:r>
      <w:r w:rsidR="00580526">
        <w:t>neurologist</w:t>
      </w:r>
      <w:r>
        <w:t xml:space="preserve"> two</w:t>
      </w:r>
      <w:r w:rsidR="00D762BD">
        <w:t xml:space="preserve"> and 0.84 (p&lt;0.001) for neurologist three</w:t>
      </w:r>
      <w:r>
        <w:t xml:space="preserve">. Spearman’s correlation between </w:t>
      </w:r>
      <w:r w:rsidR="00203C6F">
        <w:t>S-FMDRS</w:t>
      </w:r>
      <w:r>
        <w:t xml:space="preserve"> and SF36 Physical Function</w:t>
      </w:r>
      <w:r w:rsidR="005C3B85">
        <w:t xml:space="preserve"> domain</w:t>
      </w:r>
      <w:r>
        <w:t xml:space="preserve"> was -0.5</w:t>
      </w:r>
      <w:r w:rsidR="00273CD6">
        <w:t>6</w:t>
      </w:r>
      <w:r>
        <w:t xml:space="preserve"> (p=0.00</w:t>
      </w:r>
      <w:r w:rsidR="00273CD6">
        <w:t>1</w:t>
      </w:r>
      <w:r>
        <w:t xml:space="preserve">) for </w:t>
      </w:r>
      <w:r w:rsidR="00580526">
        <w:t>neurologist</w:t>
      </w:r>
      <w:r>
        <w:t xml:space="preserve"> one</w:t>
      </w:r>
      <w:r w:rsidR="00273CD6">
        <w:t>;</w:t>
      </w:r>
      <w:r>
        <w:t xml:space="preserve"> </w:t>
      </w:r>
      <w:r w:rsidR="00273CD6">
        <w:t>-</w:t>
      </w:r>
      <w:r>
        <w:t>0.3</w:t>
      </w:r>
      <w:r w:rsidR="00273CD6">
        <w:t>9</w:t>
      </w:r>
      <w:r>
        <w:t xml:space="preserve"> (p=0.0</w:t>
      </w:r>
      <w:r w:rsidR="00273CD6">
        <w:t>31</w:t>
      </w:r>
      <w:r>
        <w:t xml:space="preserve">) for </w:t>
      </w:r>
      <w:r w:rsidR="00580526">
        <w:t>neurologist</w:t>
      </w:r>
      <w:r>
        <w:t xml:space="preserve"> two</w:t>
      </w:r>
      <w:r w:rsidR="00273CD6">
        <w:t>; and -0.33 (p=0.073) for neurologist three</w:t>
      </w:r>
      <w:r>
        <w:t xml:space="preserve">. Spearman’s correlation between </w:t>
      </w:r>
      <w:r w:rsidR="00203C6F">
        <w:t>S-FMDRS</w:t>
      </w:r>
      <w:r>
        <w:t xml:space="preserve"> and 10 metre walk time was 0.5</w:t>
      </w:r>
      <w:r w:rsidR="00D762BD">
        <w:t>3</w:t>
      </w:r>
      <w:r>
        <w:t xml:space="preserve"> (p&lt;0.00</w:t>
      </w:r>
      <w:r w:rsidR="00D762BD">
        <w:t>4</w:t>
      </w:r>
      <w:r>
        <w:t xml:space="preserve">) for </w:t>
      </w:r>
      <w:r w:rsidR="00580526">
        <w:t>neurologist one</w:t>
      </w:r>
      <w:r w:rsidR="00D762BD">
        <w:t>;</w:t>
      </w:r>
      <w:r w:rsidR="00580526">
        <w:t xml:space="preserve"> 0.</w:t>
      </w:r>
      <w:r w:rsidR="00D762BD">
        <w:t>4</w:t>
      </w:r>
      <w:r w:rsidR="00580526">
        <w:t>1 (p&lt;0.0</w:t>
      </w:r>
      <w:r w:rsidR="00D762BD">
        <w:t>32</w:t>
      </w:r>
      <w:r w:rsidR="00580526">
        <w:t>) for neurologist two</w:t>
      </w:r>
      <w:r w:rsidR="00D762BD">
        <w:t>; and 0.25 (p=0.212) for neurologist three.</w:t>
      </w:r>
    </w:p>
    <w:p w14:paraId="6E2E464D" w14:textId="2FBB17F2" w:rsidR="007F7FBF" w:rsidRDefault="004619BC" w:rsidP="00580526">
      <w:pPr>
        <w:pStyle w:val="Heading2"/>
      </w:pPr>
      <w:r>
        <w:t xml:space="preserve">Sensitivity - </w:t>
      </w:r>
      <w:r w:rsidR="007F7FBF">
        <w:t xml:space="preserve">Difference </w:t>
      </w:r>
      <w:r w:rsidR="00580526">
        <w:t>between</w:t>
      </w:r>
      <w:r w:rsidR="007F7FBF">
        <w:t xml:space="preserve"> </w:t>
      </w:r>
      <w:r w:rsidR="007B2EAE">
        <w:t xml:space="preserve">Intervention and Control </w:t>
      </w:r>
      <w:r w:rsidR="007F7FBF">
        <w:t>Groups</w:t>
      </w:r>
    </w:p>
    <w:p w14:paraId="7AF70215" w14:textId="1E7C2749" w:rsidR="007B2EAE" w:rsidRDefault="00FD3377">
      <w:r>
        <w:t>Sensi</w:t>
      </w:r>
      <w:r w:rsidR="00C022F3">
        <w:t>tivity analysis was conducted using the data from</w:t>
      </w:r>
      <w:r>
        <w:t xml:space="preserve"> the sample of 60 participants enrolled in a feasibility </w:t>
      </w:r>
      <w:proofErr w:type="spellStart"/>
      <w:r>
        <w:t>study.</w:t>
      </w:r>
      <w:proofErr w:type="spellEnd"/>
      <w:r>
        <w:fldChar w:fldCharType="begin" w:fldLock="1"/>
      </w:r>
      <w:r w:rsidR="00C022F3">
        <w:instrText>ADDIN CSL_CITATION { "citationItems" : [ { "id" : "ITEM-1", "itemData" : { "DOI" : "10.1136/jnnp-2016-314408", "ISSN" : "1468-330X", "PMID" : "27694498", "abstract" : "OBJECTIVE To determine the feasibility of conducting a randomised controlled trial of a specialist physiotherapy intervention for functional motor symptoms (FMS). METHODS A randomised feasibility study was conducted recruiting patients with a clinically established diagnosis of FMS from a tertiary neurology clinic in London, UK. Participants were randomised to the intervention or a treatment as usual control. Measures of feasibility and clinical outcome were collected and assessed at 6 months. RESULTS 60 individuals were recruited over a 9-month period. Three withdrew, leaving 29 intervention and 28 controls participants in the final analysis. 32% of patients with FMS met the inclusion criteria, of which 90% enrolled. Acceptability of the intervention was high and there were no adverse events. At 6 months, 72% of the intervention group rated their symptoms as improved, compared to 18% in the control group. There was a moderate to large treatment effect across a range of outcomes, including three of eight Short Form 36 (SF36) domains (d=0.46-0.79). The SF36 Physical function was found to be a suitable primary outcome measure for a future trial; adjusted mean difference 19.8 (95% CI 10.2 to 29.5). The additional quality adjusted life years (QALY) with intervention was 0.08 (95% CI 0.03 to 0.13), the mean incremental cost per QALY gained was \u00a312 087. CONCLUSIONS This feasibility study demonstrated high rates of recruitment, retention and acceptability. Clinical effect size was moderate to large with high probability of being cost-effective. A randomised controlled trial is needed. TRIAL REGISTRATION NUMBER NCT02275000; Results.", "author" : [ { "dropping-particle" : "", "family" : "Nielsen", "given" : "G", "non-dropping-particle" : "", "parse-names" : false, "suffix" : "" }, { "dropping-particle" : "", "family" : "Buszewicz", "given" : "M", "non-dropping-particle" : "", "parse-names" : false, "suffix" : "" }, { "dropping-particle" : "", "family" : "Stevenson", "given" : "F", "non-dropping-particle" : "", "parse-names" : false, "suffix" : "" }, { "dropping-particle" : "", "family" : "Hunter", "given" : "R", "non-dropping-particle" : "", "parse-names" : false, "suffix" : "" }, { "dropping-particle" : "", "family" : "Holt", "given" : "K", "non-dropping-particle" : "", "parse-names" : false, "suffix" : "" }, { "dropping-particle" : "", "family" : "Dudziec", "given" : "M", "non-dropping-particle" : "", "parse-names" : false, "suffix" : "" }, { "dropping-particle" : "", "family" : "Ricciardi", "given" : "L", "non-dropping-particle" : "", "parse-names" : false, "suffix" : "" }, { "dropping-particle" : "", "family" : "Marsden", "given" : "J", "non-dropping-particle" : "", "parse-names" : false, "suffix" : "" }, { "dropping-particle" : "", "family" : "Joyce", "given" : "E", "non-dropping-particle" : "", "parse-names" : false, "suffix" : "" }, { "dropping-particle" : "", "family" : "Edwards", "given" : "Mark J", "non-dropping-particle" : "", "parse-names" : false, "suffix" : "" } ], "container-title" : "Journal of Neurology, Neurosurgery &amp; Psychiatry", "id" : "ITEM-1", "issued" : { "date-parts" : [ [ "2016", "9", "30" ] ] }, "page" : "jnnp-2016-314408", "publisher" : "BMJ Publishing Group Ltd", "title" : "Randomised Feasibility Study of Physiotherapy for Patients with Functional Motor Symptoms", "type" : "article-journal", "volume" : "online fir" }, "uris" : [ "http://www.mendeley.com/documents/?uuid=e4c29339-ca67-41ee-865f-fdef7292089e" ] } ], "mendeley" : { "formattedCitation" : "&lt;sup&gt;15&lt;/sup&gt;", "plainTextFormattedCitation" : "15", "previouslyFormattedCitation" : "&lt;sup&gt;15&lt;/sup&gt;" }, "properties" : { "noteIndex" : 0 }, "schema" : "https://github.com/citation-style-language/schema/raw/master/csl-citation.json" }</w:instrText>
      </w:r>
      <w:r>
        <w:fldChar w:fldCharType="separate"/>
      </w:r>
      <w:r w:rsidRPr="00FD3377">
        <w:rPr>
          <w:noProof/>
          <w:vertAlign w:val="superscript"/>
        </w:rPr>
        <w:t>15</w:t>
      </w:r>
      <w:r>
        <w:fldChar w:fldCharType="end"/>
      </w:r>
      <w:r>
        <w:t xml:space="preserve"> </w:t>
      </w:r>
      <w:r w:rsidR="007B2EAE">
        <w:t xml:space="preserve">The mean intervention group </w:t>
      </w:r>
      <w:r w:rsidR="00203C6F">
        <w:t>S-FMDRS</w:t>
      </w:r>
      <w:r w:rsidR="007B2EAE">
        <w:t xml:space="preserve"> score</w:t>
      </w:r>
      <w:r w:rsidR="00580526">
        <w:t xml:space="preserve"> at six months</w:t>
      </w:r>
      <w:r w:rsidR="00A343E5">
        <w:t xml:space="preserve"> (post treatment)</w:t>
      </w:r>
      <w:r w:rsidR="007B2EAE">
        <w:t xml:space="preserve"> was 1</w:t>
      </w:r>
      <w:r w:rsidR="00147319">
        <w:t>0.6</w:t>
      </w:r>
      <w:r w:rsidR="007B2EAE">
        <w:t xml:space="preserve"> (SD </w:t>
      </w:r>
      <w:r w:rsidR="00B753E7">
        <w:t>9.1</w:t>
      </w:r>
      <w:r w:rsidR="007B2EAE">
        <w:t>) and the mean control group score was 1</w:t>
      </w:r>
      <w:r w:rsidR="00B753E7">
        <w:t>6.6</w:t>
      </w:r>
      <w:r w:rsidR="007B2EAE">
        <w:t xml:space="preserve"> (SD </w:t>
      </w:r>
      <w:r w:rsidR="00B753E7">
        <w:t>8.6</w:t>
      </w:r>
      <w:r w:rsidR="007B2EAE">
        <w:t>). After adjusting for baseline scores, the difference between gr</w:t>
      </w:r>
      <w:r w:rsidR="00580526">
        <w:t xml:space="preserve">oups was </w:t>
      </w:r>
      <w:r w:rsidR="00B753E7">
        <w:t>7.4</w:t>
      </w:r>
      <w:r w:rsidR="00580526">
        <w:t xml:space="preserve"> (95% CI </w:t>
      </w:r>
      <w:r w:rsidR="00B753E7">
        <w:t>3.8, 11.0</w:t>
      </w:r>
      <w:r w:rsidR="00580526">
        <w:t>), Cohen’s d=0.79.</w:t>
      </w:r>
    </w:p>
    <w:p w14:paraId="3451EA80" w14:textId="77777777" w:rsidR="008E1CAA" w:rsidRPr="00600EE2" w:rsidRDefault="008E1CAA" w:rsidP="008E1CAA">
      <w:pPr>
        <w:pStyle w:val="Heading1"/>
      </w:pPr>
      <w:r>
        <w:t xml:space="preserve">Discussion </w:t>
      </w:r>
    </w:p>
    <w:p w14:paraId="36E31560" w14:textId="1BFBCBA0" w:rsidR="00A55D80" w:rsidRDefault="002768C6" w:rsidP="008E1CAA">
      <w:r>
        <w:t xml:space="preserve">We assessed the inter-rater reliability of the PMDRS and a simplified version of the scale. </w:t>
      </w:r>
      <w:r w:rsidR="00044A49">
        <w:t>Scores for b</w:t>
      </w:r>
      <w:r>
        <w:t>oth sc</w:t>
      </w:r>
      <w:r w:rsidR="00F372C3">
        <w:t xml:space="preserve">ales were </w:t>
      </w:r>
      <w:r w:rsidR="00B804B4">
        <w:t>found</w:t>
      </w:r>
      <w:r w:rsidR="00F372C3">
        <w:t xml:space="preserve"> to have high</w:t>
      </w:r>
      <w:r>
        <w:t xml:space="preserve"> inter-rater </w:t>
      </w:r>
      <w:r w:rsidR="00AE50B1">
        <w:t>reliability</w:t>
      </w:r>
      <w:r w:rsidR="00044A49">
        <w:t xml:space="preserve"> </w:t>
      </w:r>
      <w:r w:rsidR="00AE50B1">
        <w:t xml:space="preserve">with ICC’s </w:t>
      </w:r>
      <w:r w:rsidR="00B804B4">
        <w:t>ranging</w:t>
      </w:r>
      <w:r w:rsidR="00AE50B1">
        <w:t xml:space="preserve"> </w:t>
      </w:r>
      <w:r w:rsidR="00C022F3">
        <w:t xml:space="preserve">from </w:t>
      </w:r>
      <w:r w:rsidR="00AE50B1">
        <w:t>0.8</w:t>
      </w:r>
      <w:r w:rsidR="00C022F3">
        <w:t>4</w:t>
      </w:r>
      <w:r w:rsidR="00AE50B1">
        <w:t>-0.85</w:t>
      </w:r>
      <w:r w:rsidR="00F372C3">
        <w:t>.</w:t>
      </w:r>
      <w:r w:rsidR="00B804B4">
        <w:t xml:space="preserve"> These values are comparable to the ICC </w:t>
      </w:r>
      <w:r w:rsidR="00217BDB">
        <w:t xml:space="preserve">for the PMDRS </w:t>
      </w:r>
      <w:r w:rsidR="00B804B4">
        <w:t>r</w:t>
      </w:r>
      <w:r w:rsidR="00044A49">
        <w:t>epo</w:t>
      </w:r>
      <w:r w:rsidR="00772D89">
        <w:t xml:space="preserve">rted by Hinson et </w:t>
      </w:r>
      <w:proofErr w:type="spellStart"/>
      <w:r w:rsidR="00772D89">
        <w:t>al</w:t>
      </w:r>
      <w:proofErr w:type="spellEnd"/>
      <w:r w:rsidR="00E72B20">
        <w:fldChar w:fldCharType="begin" w:fldLock="1"/>
      </w:r>
      <w:r w:rsidR="00DF4C79">
        <w:instrText>ADDIN CSL_CITATION { "citationItems" : [ { "id" : "ITEM-1", "itemData" : { "DOI" : "10.1002/mds.20650", "ISBN" : "0885-3185 (Print)\r0885-3185 (Linking)", "PMID" : "16108025", "abstract" : "We developed and tested the clinimetric properties of a scale for psychogenic movement disorders (PMDs). PMDs are disabling but lack any generally accepted treatment strategies. To develop treatments, means of assessing disease severity must be provided. No scale to assess PMDs existed. The PMD scale developed here rates 10 phenomena (rest tremor, action tremor, dystonia, chorea, bradykinesia, myoclonus, tics, athetosis, ballism, cerebellar incoordination), 2 functions (gait, speech), and 14 body regions. To study interrater agreement, three movement disorder neurologists independently rated 88 videotapes of PMD patients. Data analysis was performed using a kappa coefficient of agreement, Kendall's coefficient of concordance, Spearman correlations, and intraclass correlation coefficients. Validity and scale responsiveness were tested as well. All phenomena and speech and gait dysfunction occurred in the patient sample. A wide range of affected body regions, severity, and incapacitation was captured. Ratings showed excellent interrater reliability for presence or absence of each phenomenon (kappa range, 0.63 to 0.86). Kendall's concordance coefficients for phenomenology, function, and total PMD scores were 0.92, 0.93, and 0.91. Spearman correlations between raters ranged from 0.86 to 0.90. The scale was responsive to changes that occurred as a result of a neuropsychiatric intervention. The PMD scale adequately captures the complex movements of PMDs and can be used to assess PMDs and test the efficacy of intervention strategies.", "author" : [ { "dropping-particle" : "", "family" : "Hinson", "given" : "V K", "non-dropping-particle" : "", "parse-names" : false, "suffix" : "" }, { "dropping-particle" : "", "family" : "Cubo", "given" : "E", "non-dropping-particle" : "", "parse-names" : false, "suffix" : "" }, { "dropping-particle" : "", "family" : "Comella", "given" : "C L", "non-dropping-particle" : "", "parse-names" : false, "suffix" : "" }, { "dropping-particle" : "", "family" : "Goetz", "given" : "C G", "non-dropping-particle" : "", "parse-names" : false, "suffix" : "" }, { "dropping-particle" : "", "family" : "Leurgans", "given" : "S", "non-dropping-particle" : "", "parse-names" : false, "suffix" : "" } ], "container-title" : "Mov Disord", "genre" : "Journal Article", "id" : "ITEM-1", "issue" : "12", "issued" : { "date-parts" : [ [ "2005" ] ] }, "note" : "Hinson, Vanessa K\nCubo, Esther\nComella, Cynthia L\nGoetz, Christopher G\nLeurgans, Sue\neng\nComparative Study\n2005/08/19 09:00\nMov Disord. 2005 Dec;20(12):1592-7.", "page" : "1592-1597", "title" : "Rating scale for psychogenic movement disorders: scale development and clinimetric testing", "type" : "article-journal", "volume" : "20" }, "uris" : [ "http://www.mendeley.com/documents/?uuid=fe4d4ff3-0a9a-4114-8b5b-71219d36cd67" ] } ], "mendeley" : { "formattedCitation" : "&lt;sup&gt;12&lt;/sup&gt;", "plainTextFormattedCitation" : "12", "previouslyFormattedCitation" : "&lt;sup&gt;12&lt;/sup&gt;" }, "properties" : { "noteIndex" : 0 }, "schema" : "https://github.com/citation-style-language/schema/raw/master/csl-citation.json" }</w:instrText>
      </w:r>
      <w:r w:rsidR="00E72B20">
        <w:fldChar w:fldCharType="separate"/>
      </w:r>
      <w:r w:rsidR="00E72B20" w:rsidRPr="00E72B20">
        <w:rPr>
          <w:noProof/>
          <w:vertAlign w:val="superscript"/>
        </w:rPr>
        <w:t>12</w:t>
      </w:r>
      <w:r w:rsidR="00E72B20">
        <w:fldChar w:fldCharType="end"/>
      </w:r>
      <w:r w:rsidR="00772D89">
        <w:t xml:space="preserve"> of 0.88 and</w:t>
      </w:r>
      <w:r w:rsidR="00044A49">
        <w:t xml:space="preserve"> compare favourably to other clinical outcome measures</w:t>
      </w:r>
      <w:r w:rsidR="00772D89">
        <w:t xml:space="preserve"> in neurology; for example</w:t>
      </w:r>
      <w:r w:rsidR="00044A49">
        <w:t xml:space="preserve"> the Berg Balance Scale</w:t>
      </w:r>
      <w:r w:rsidR="00772D89">
        <w:t xml:space="preserve"> in stroke</w:t>
      </w:r>
      <w:r w:rsidR="00044A49">
        <w:t xml:space="preserve"> </w:t>
      </w:r>
      <w:r w:rsidR="001A0DAD">
        <w:t>(</w:t>
      </w:r>
      <w:r w:rsidR="00044A49">
        <w:t>ICC</w:t>
      </w:r>
      <w:r w:rsidR="001A0DAD">
        <w:t>:</w:t>
      </w:r>
      <w:r w:rsidR="00044A49">
        <w:t xml:space="preserve"> 0.</w:t>
      </w:r>
      <w:r w:rsidR="00460503">
        <w:t>95</w:t>
      </w:r>
      <w:r w:rsidR="00460503">
        <w:fldChar w:fldCharType="begin" w:fldLock="1"/>
      </w:r>
      <w:r w:rsidR="00DF4C79">
        <w:instrText>ADDIN CSL_CITATION { "citationItems" : [ { "id" : "ITEM-1", "itemData" : { "DOI" : "10.1161/01.STR.0000012516.63191.C5", "ISSN" : "0039-2499", "author" : [ { "dropping-particle" : "", "family" : "Mao", "given" : "H.-F.", "non-dropping-particle" : "", "parse-names" : false, "suffix" : "" }, { "dropping-particle" : "", "family" : "Hsueh", "given" : "I-P.", "non-dropping-particle" : "", "parse-names" : false, "suffix" : "" }, { "dropping-particle" : "", "family" : "Tang", "given" : "P.-F.", "non-dropping-particle" : "", "parse-names" : false, "suffix" : "" }, { "dropping-particle" : "", "family" : "Sheu", "given" : "C.-F.", "non-dropping-particle" : "", "parse-names" : false, "suffix" : "" }, { "dropping-particle" : "", "family" : "Hsieh", "given" : "C.-L.", "non-dropping-particle" : "", "parse-names" : false, "suffix" : "" } ], "container-title" : "Stroke", "id" : "ITEM-1", "issue" : "4", "issued" : { "date-parts" : [ [ "2002", "4", "1" ] ] }, "page" : "1022-1027", "publisher" : "Lippincott Williams &amp; Wilkins", "title" : "Analysis and Comparison of the Psychometric Properties of Three Balance Measures for Stroke Patients", "type" : "article-journal", "volume" : "33" }, "uris" : [ "http://www.mendeley.com/documents/?uuid=db1a833e-b012-3e00-bda0-e7d47b924fe7" ] } ], "mendeley" : { "formattedCitation" : "&lt;sup&gt;22&lt;/sup&gt;", "plainTextFormattedCitation" : "22", "previouslyFormattedCitation" : "&lt;sup&gt;22&lt;/sup&gt;" }, "properties" : { "noteIndex" : 0 }, "schema" : "https://github.com/citation-style-language/schema/raw/master/csl-citation.json" }</w:instrText>
      </w:r>
      <w:r w:rsidR="00460503">
        <w:fldChar w:fldCharType="separate"/>
      </w:r>
      <w:r w:rsidR="00DF4C79" w:rsidRPr="00DF4C79">
        <w:rPr>
          <w:noProof/>
          <w:vertAlign w:val="superscript"/>
        </w:rPr>
        <w:t>22</w:t>
      </w:r>
      <w:r w:rsidR="00460503">
        <w:fldChar w:fldCharType="end"/>
      </w:r>
      <w:r w:rsidR="001A0DAD">
        <w:t>)</w:t>
      </w:r>
      <w:r w:rsidR="00772D89">
        <w:t xml:space="preserve">; Modified Ashworth Scale </w:t>
      </w:r>
      <w:r w:rsidR="001A0DAD">
        <w:t>(</w:t>
      </w:r>
      <w:r w:rsidR="00460503">
        <w:t>ICC</w:t>
      </w:r>
      <w:r w:rsidR="001A0DAD">
        <w:t>:</w:t>
      </w:r>
      <w:r w:rsidR="00460503">
        <w:t xml:space="preserve"> </w:t>
      </w:r>
      <w:r w:rsidR="00F43645">
        <w:t>0.64-0.87</w:t>
      </w:r>
      <w:r w:rsidR="00F43645">
        <w:fldChar w:fldCharType="begin" w:fldLock="1"/>
      </w:r>
      <w:r w:rsidR="00DF4C79">
        <w:instrText>ADDIN CSL_CITATION { "citationItems" : [ { "id" : "ITEM-1", "itemData" : { "DOI" : "10.1186/1471-2474-9-44", "ISSN" : "1471-2474", "abstract" : "Measurement of spasticity is a difficult and unresolved problem, partly due to its complexity and the fact that there are many factors involved. In the assessment of spasticity in the pediatric disabled population, methods that are easily used in practice are ordinal scales that still lack reliability. A prospective cross-sectional observational study was planned to determine the reliability of the Ashworth Scale (AS) and the Modified Ashworth Scale (MAS) in children with spastic cerebral palsy (CP). The study included 38 children with spastic diplegic CP. The mean age for the children was 52.9 months (SD: 19.6) ranging from 18 to 108 months. The functional levels of children were classified according to the Gross Motor Function Classification System. 20 children were in Level II (52.6%), 18 were in Level III (47.4%) and 9 were in Level I (23.7%). Spasticity in hip flexors, adductors, internal rotators, hamstrings, gastrocnemius were assessed by AS and MAS. Each child was assessed by three physiotherapists in two different sessions, a week apart. The intrarater reliability was determined by paired comparison of measurements for each therapist for the two assessments. Interrater reliability was determined by paired comparisons of the three therapists' measurements on the same day. The inter and intrarater reliability of the scales were evaluated by the intraclass correlation coefficient (ICC). According to ICC scores, interrater reliability of AS and MAS varied from moderate to good. ICC scores of AS were between 0.54 and 0.78 and MAS were between 0.61\u20130.87. Test-retest results of AS and MAS varied from poor to good. ICC values were between 0.31 and 0.82 for AS and between 0.36 and 0.83 for MAS. The interrater and intrarater reliability of AS and MAS are related to muscle and joint characters. The repetition of measurements by the same physiotherapist, and experience may not affect reliability. These scales are not very reliable and assessments of spasticity using these scales should be therefore interpreted with great caution.", "author" : [ { "dropping-particle" : "", "family" : "Mutlu", "given" : "Akmer", "non-dropping-particle" : "", "parse-names" : false, "suffix" : "" }, { "dropping-particle" : "", "family" : "Livanelioglu", "given" : "Ayse", "non-dropping-particle" : "", "parse-names" : false, "suffix" : "" }, { "dropping-particle" : "", "family" : "Gunel", "given" : "Mintaze Kerem", "non-dropping-particle" : "", "parse-names" : false, "suffix" : "" }, { "dropping-particle" : "", "family" : "Perin", "given" : "B", "non-dropping-particle" : "", "parse-names" : false, "suffix" : "" }, { "dropping-particle" : "", "family" : "Engsberg", "given" : "JR", "non-dropping-particle" : "", "parse-names" : false, "suffix" : "" }, { "dropping-particle" : "", "family" : "Olree", "given" : "KS", "non-dropping-particle" : "", "parse-names" : false, "suffix" : "" }, { "dropping-particle" : "", "family" : "Ross", "given" : "SA", "non-dropping-particle" : "", "parse-names" : false, "suffix" : "" }, { "dropping-particle" : "", "family" : "Park", "given" : "TS", "non-dropping-particle" : "", "parse-names" : false, "suffix" : "" }, { "dropping-particle" : "", "family" : "Skinner", "given" : "SR", "non-dropping-particle" : "", "parse-names" : false, "suffix" : "" }, { "dropping-particle" : "", "family" : "Ross", "given" : "SA", "non-dropping-particle" : "", "parse-names" : false, "suffix" : "" }, { "dropping-particle" : "", "family" : "Engsberg", "given" : "JR", "non-dropping-particle" : "", "parse-names" : false, "suffix" : "" }, { "dropping-particle" : "", "family" : "Engsberg", "given" : "JR", "non-dropping-particle" : "", "parse-names" : false, "suffix" : "" }, { "dropping-particle" : "", "family" : "Ross", "given" : "SA", "non-dropping-particle" : "", "parse-names" : false, "suffix" : "" }, { "dropping-particle" : "", "family" : "Collins", "given" : "DR", "non-dropping-particle" : "", "parse-names" : false, "suffix" : "" }, { "dropping-particle" : "", "family" : "Park", "given" : "TS", "non-dropping-particle" : "", "parse-names" : false, "suffix" : "" }, { "dropping-particle" : "", "family" : "Katz", "given" : "RT", "non-dropping-particle" : "", "parse-names" : false, "suffix" : "" }, { "dropping-particle" : "", "family" : "Rovai", "given" : "GP", "non-dropping-particle" : "", "parse-names" : false, "suffix" : "" }, { "dropping-particle" : "", "family" : "Brait", "given" : "C", "non-dropping-particle" : "", "parse-names" : false, "suffix" : "" }, { "dropping-particle" : "", "family" : "Rymer", "given" : "WZ", "non-dropping-particle" : "", "parse-names" : false, "suffix" : "" }, { "dropping-particle" : "", "family" : "Albright", "given" : "AL", "non-dropping-particle" : "", "parse-names" : false, "suffix" : "" }, { "dropping-particle" : "", "family" : "Bohannan", "given" : "RW", "non-dropping-particle" : "", "parse-names" : false, "suffix" : "" }, { "dropping-particle" : "", "family" : "Smith", "given" : "MB", "non-dropping-particle" : "", "parse-names" : false, "suffix" : "" }, { "dropping-particle" : "", "family" : "Gregson", "given" : "JM", "non-dropping-particle" : "", "parse-names" : false, "suffix" : "" }, { "dropping-particle" : "", "family" : "Leathley", "given" : "M", "non-dropping-particle" : "", "parse-names" : false, "suffix" : "" }, { "dropping-particle" : "", "family" : "Moore", "given" : "AP", "non-dropping-particle" : "", "parse-names" : false, "suffix" : "" }, { "dropping-particle" : "", "family" : "Sharma", "given" : "AK", "non-dropping-particle" : "", "parse-names" : false, "suffix" : "" }, { "dropping-particle" : "", "family" : "Smith", "given" : "TL", "non-dropping-particle" : "", "parse-names" : false, "suffix" : "" }, { "dropping-particle" : "", "family" : "Watkins", "given" : "CL", "non-dropping-particle" : "", "parse-names" : false, "suffix" : "" }, { "dropping-particle" : "", "family" : "Chabal", "given" : "C", "non-dropping-particle" : "", "parse-names" : false, "suffix" : "" }, { "dropping-particle" : "", "family" : "Schwid", "given" : "HA", "non-dropping-particle" : "", "parse-names" : false, "suffix" : "" }, { "dropping-particle" : "", "family" : "Jacobson", "given" : "L", "non-dropping-particle" : "", "parse-names" : false, "suffix" : "" }, { "dropping-particle" : "", "family" : "Otis", "given" : "JC", "non-dropping-particle" : "", "parse-names" : false, "suffix" : "" }, { "dropping-particle" : "", "family" : "Root", "given" : "L", "non-dropping-particle" : "", "parse-names" : false, "suffix" : "" }, { "dropping-particle" : "", "family" : "Pamilla", "given" : "JR", "non-dropping-particle" : "", "parse-names" : false, "suffix" : "" }, { "dropping-particle" : "", "family" : "Kroll", "given" : "MA", "non-dropping-particle" : "", "parse-names" : false, "suffix" : "" }, { "dropping-particle" : "", "family" : "Haugh", "given" : "AB", "non-dropping-particle" : "", "parse-names" : false, "suffix" : "" }, { "dropping-particle" : "", "family" : "Pandyan", "given" : "AD", "non-dropping-particle" : "", "parse-names" : false, "suffix" : "" }, { "dropping-particle" : "", "family" : "Johnson", "given" : "GR", "non-dropping-particle" : "", "parse-names" : false, "suffix" : "" }, { "dropping-particle" : "", "family" : "Mehrholz", "given" : "J", "non-dropping-particle" : "", "parse-names" : false, "suffix" : "" }, { "dropping-particle" : "", "family" : "Wagner", "given" : "K", "non-dropping-particle" : "", "parse-names" : false, "suffix" : "" }, { "dropping-particle" : "", "family" : "Meissner", "given" : "D", "non-dropping-particle" : "", "parse-names" : false, "suffix" : "" }, { "dropping-particle" : "", "family" : "Grundmann", "given" : "K", "non-dropping-particle" : "", "parse-names" : false, "suffix" : "" }, { "dropping-particle" : "", "family" : "Zange", "given" : "C", "non-dropping-particle" : "", "parse-names" : false, "suffix" : "" }, { "dropping-particle" : "", "family" : "Koch", "given" : "R", "non-dropping-particle" : "", "parse-names" : false, "suffix" : "" }, { "dropping-particle" : "", "family" : "Pohl", "given" : "M", "non-dropping-particle" : "", "parse-names" : false, "suffix" : "" }, { "dropping-particle" : "", "family" : "Wahlquist", "given" : "GI", "non-dropping-particle" : "", "parse-names" : false, "suffix" : "" }, { "dropping-particle" : "", "family" : "Harris", "given" : "SR", "non-dropping-particle" : "", "parse-names" : false, "suffix" : "" }, { "dropping-particle" : "", "family" : "Smith", "given" : "LH", "non-dropping-particle" : "", "parse-names" : false, "suffix" : "" }, { "dropping-particle" : "", "family" : "Krukowski", "given" : "L", "non-dropping-particle" : "", "parse-names" : false, "suffix" : "" }, { "dropping-particle" : "", "family" : "Price", "given" : "R", "non-dropping-particle" : "", "parse-names" : false, "suffix" : "" }, { "dropping-particle" : "", "family" : "Bjornson", "given" : "KF", "non-dropping-particle" : "", "parse-names" : false, "suffix" : "" }, { "dropping-particle" : "", "family" : "Lehmann", "given" : "JF", "non-dropping-particle" : "", "parse-names" : false, "suffix" : "" }, { "dropping-particle" : "", "family" : "McLaughlin", "given" : "JF", "non-dropping-particle" : "", "parse-names" : false, "suffix" : "" }, { "dropping-particle" : "", "family" : "Hays", "given" : "RM", "non-dropping-particle" : "", "parse-names" : false, "suffix" : "" }, { "dropping-particle" : "", "family" : "Priebe", "given" : "MM", "non-dropping-particle" : "", "parse-names" : false, "suffix" : "" }, { "dropping-particle" : "", "family" : "Sherwood", "given" : "AM", "non-dropping-particle" : "", "parse-names" : false, "suffix" : "" }, { "dropping-particle" : "", "family" : "Thornby", "given" : "JI", "non-dropping-particle" : "", "parse-names" : false, "suffix" : "" }, { "dropping-particle" : "", "family" : "Kharas", "given" : "NF", "non-dropping-particle" : "", "parse-names" : false, "suffix" : "" }, { "dropping-particle" : "", "family" : "Markowski", "given" : "J", "non-dropping-particle" : "", "parse-names" : false, "suffix" : "" }, { "dropping-particle" : "", "family" : "Ashworth", "given" : "B", "non-dropping-particle" : "", "parse-names" : false, "suffix" : "" }, { "dropping-particle" : "", "family" : "Fosang", "given" : "AL", "non-dropping-particle" : "", "parse-names" : false, "suffix" : "" }, { "dropping-particle" : "", "family" : "Galea", "given" : "MP", "non-dropping-particle" : "", "parse-names" : false, "suffix" : "" }, { "dropping-particle" : "", "family" : "McCoy", "given" : "AT", "non-dropping-particle" : "", "parse-names" : false, "suffix" : "" }, { "dropping-particle" : "", "family" : "Reddihough", "given" : "DS", "non-dropping-particle" : "", "parse-names" : false, "suffix" : "" }, { "dropping-particle" : "", "family" : "Story", "given" : "I", "non-dropping-particle" : "", "parse-names" : false, "suffix" : "" }, { "dropping-particle" : "", "family" : "Mackey", "given" : "AH", "non-dropping-particle" : "", "parse-names" : false, "suffix" : "" }, { "dropping-particle" : "", "family" : "Walt", "given" : "SE", "non-dropping-particle" : "", "parse-names" : false, "suffix" : "" }, { "dropping-particle" : "", "family" : "Lobb", "given" : "G", "non-dropping-particle" : "", "parse-names" : false, "suffix" : "" }, { "dropping-particle" : "", "family" : "Stott", "given" : "NS", "non-dropping-particle" : "", "parse-names" : false, "suffix" : "" }, { "dropping-particle" : "", "family" : "Scheinberg", "given" : "A", "non-dropping-particle" : "", "parse-names" : false, "suffix" : "" }, { "dropping-particle" : "", "family" : "Hall", "given" : "K", "non-dropping-particle" : "", "parse-names" : false, "suffix" : "" }, { "dropping-particle" : "", "family" : "Lam", "given" : "LT", "non-dropping-particle" : "", "parse-names" : false, "suffix" : "" }, { "dropping-particle" : "", "family" : "O", "given" : "S", "non-dropping-particle" : "", "parse-names" : false, "suffix" : "" }, { "dropping-particle" : "", "family" : "Pandyan", "given" : "AD", "non-dropping-particle" : "", "parse-names" : false, "suffix" : "" }, { "dropping-particle" : "", "family" : "Johnson", "given" : "GR", "non-dropping-particle" : "", "parse-names" : false, "suffix" : "" }, { "dropping-particle" : "", "family" : "Price", "given" : "CI", "non-dropping-particle" : "", "parse-names" : false, "suffix" : "" }, { "dropping-particle" : "", "family" : "Curless", "given" : "RH", "non-dropping-particle" : "", "parse-names" : false, "suffix" : "" }, { "dropping-particle" : "", "family" : "Barnes", "given" : "MP", "non-dropping-particle" : "", "parse-names" : false, "suffix" : "" }, { "dropping-particle" : "", "family" : "Rodgers", "given" : "H", "non-dropping-particle" : "", "parse-names" : false, "suffix" : "" }, { "dropping-particle" : "", "family" : "Damiano", "given" : "DL", "non-dropping-particle" : "", "parse-names" : false, "suffix" : "" }, { "dropping-particle" : "", "family" : "Quinlivan", "given" : "JM", "non-dropping-particle" : "", "parse-names" : false, "suffix" : "" }, { "dropping-particle" : "", "family" : "Owen", "given" : "BF", "non-dropping-particle" : "", "parse-names" : false, "suffix" : "" }, { "dropping-particle" : "", "family" : "Payne", "given" : "P", "non-dropping-particle" : "", "parse-names" : false, "suffix" : "" }, { "dropping-particle" : "", "family" : "Nelson", "given" : "KC", "non-dropping-particle" : "", "parse-names" : false, "suffix" : "" }, { "dropping-particle" : "", "family" : "Abel", "given" : "MF", "non-dropping-particle" : "", "parse-names" : false, "suffix" : "" }, { "dropping-particle" : "", "family" : "Young", "given" : "RR", "non-dropping-particle" : "", "parse-names" : false, "suffix" : "" }, { "dropping-particle" : "", "family" : "Katz", "given" : "RT", "non-dropping-particle" : "", "parse-names" : false, "suffix" : "" }, { "dropping-particle" : "", "family" : "Rymer", "given" : "WZ", "non-dropping-particle" : "", "parse-names" : false, "suffix" : "" }, { "dropping-particle" : "", "family" : "Allison", "given" : "SC", "non-dropping-particle" : "", "parse-names" : false, "suffix" : "" }, { "dropping-particle" : "", "family" : "Abraham", "given" : "LD", "non-dropping-particle" : "", "parse-names" : false, "suffix" : "" }, { "dropping-particle" : "", "family" : "Lin", "given" : "JP", "non-dropping-particle" : "", "parse-names" : false, "suffix" : "" }, { "dropping-particle" : "", "family" : "Brown", "given" : "JK", "non-dropping-particle" : "", "parse-names" : false, "suffix" : "" }, { "dropping-particle" : "", "family" : "Brotherstone", "given" : "R", "non-dropping-particle" : "", "parse-names" : false, "suffix" : "" }, { "dropping-particle" : "", "family" : "Clopton", "given" : "N", "non-dropping-particle" : "", "parse-names" : false, "suffix" : "" }, { "dropping-particle" : "", "family" : "Dutton", "given" : "J", "non-dropping-particle" : "", "parse-names" : false, "suffix" : "" }, { "dropping-particle" : "", "family" : "Featherston", "given" : "T", "non-dropping-particle" : "", "parse-names" : false, "suffix" : "" }, { "dropping-particle" : "", "family" : "Grigsby", "given" : "A", "non-dropping-particle" : "", "parse-names" : false, "suffix" : "" }, { "dropping-particle" : "", "family" : "Mobley", "given" : "J", "non-dropping-particle" : "", "parse-names" : false, "suffix" : "" }, { "dropping-particle" : "", "family" : "Melvin", "given" : "J", "non-dropping-particle" : "", "parse-names" : false, "suffix" : "" }, { "dropping-particle" : "", "family" : "Sehgal", "given" : "N", "non-dropping-particle" : "", "parse-names" : false, "suffix" : "" }, { "dropping-particle" : "", "family" : "McGuire", "given" : "JR", "non-dropping-particle" : "", "parse-names" : false, "suffix" : "" }, { "dropping-particle" : "", "family" : "Brashear", "given" : "A", "non-dropping-particle" : "", "parse-names" : false, "suffix" : "" }, { "dropping-particle" : "", "family" : "Zafonte", "given" : "R", "non-dropping-particle" : "", "parse-names" : false, "suffix" : "" }, { "dropping-particle" : "", "family" : "Corcoran", "given" : "M", "non-dropping-particle" : "", "parse-names" : false, "suffix" : "" }, { "dropping-particle" : "", "family" : "Galvez-Jimenez", "given" : "N", "non-dropping-particle" : "", "parse-names" : false, "suffix" : "" }, { "dropping-particle" : "", "family" : "Gracies", "given" : "JM", "non-dropping-particle" : "", "parse-names" : false, "suffix" : "" }, { "dropping-particle" : "", "family" : "Gordon", "given" : "MF", "non-dropping-particle" : "", "parse-names" : false, "suffix" : "" }, { "dropping-particle" : "", "family" : "McAfee", "given" : "A", "non-dropping-particle" : "", "parse-names" : false, "suffix" : "" }, { "dropping-particle" : "", "family" : "Ruffing", "given" : "K", "non-dropping-particle" : "", "parse-names" : false, "suffix" : "" }, { "dropping-particle" : "", "family" : "Thompson", "given" : "B", "non-dropping-particle" : "", "parse-names" : false, "suffix" : "" }, { "dropping-particle" : "", "family" : "Williams", "given" : "M", "non-dropping-particle" : "", "parse-names" : false, "suffix" : "" }, { "dropping-particle" : "", "family" : "Lee", "given" : "CH", "non-dropping-particle" : "", "parse-names" : false, "suffix" : "" }, { "dropping-particle" : "", "family" : "Turkel", "given" : "C", "non-dropping-particle" : "", "parse-names" : false, "suffix" : "" }, { "dropping-particle" : "", "family" : "Yam", "given" : "WKL", "non-dropping-particle" : "", "parse-names" : false, "suffix" : "" }, { "dropping-particle" : "", "family" : "Leung", "given" : "ASM", "non-dropping-particle" : "", "parse-names" : false, "suffix" : "" }, { "dropping-particle" : "", "family" : "Palisano", "given" : "R", "non-dropping-particle" : "", "parse-names" : false, "suffix" : "" }, { "dropping-particle" : "", "family" : "Rosenbaum", "given" : "P", "non-dropping-particle" : "", "parse-names" : false, "suffix" : "" }, { "dropping-particle" : "", "family" : "Walter", "given" : "S", "non-dropping-particle" : "", "parse-names" : false, "suffix" : "" }, { "dropping-particle" : "", "family" : "Russell", "given" : "D", "non-dropping-particle" : "", "parse-names" : false, "suffix" : "" }, { "dropping-particle" : "", "family" : "Wood", "given" : "E", "non-dropping-particle" : "", "parse-names" : false, "suffix" : "" }, { "dropping-particle" : "", "family" : "Galuppi", "given" : "B", "non-dropping-particle" : "", "parse-names" : false, "suffix" : "" }, { "dropping-particle" : "", "family" : "Fleis", "given" : "JL", "non-dropping-particle" : "", "parse-names" : false, "suffix" : "" }, { "dropping-particle" : "", "family" : "Cohen", "given" : "J", "non-dropping-particle" : "", "parse-names" : false, "suffix" : "" }, { "dropping-particle" : "", "family" : "Portney", "given" : "L", "non-dropping-particle" : "", "parse-names" : false, "suffix" : "" }, { "dropping-particle" : "", "family" : "Watkins", "given" : "M", "non-dropping-particle" : "", "parse-names" : false, "suffix" : "" }, { "dropping-particle" : "", "family" : "Wallen", "given" : "MA", "non-dropping-particle" : "", "parse-names" : false, "suffix" : "" }, { "dropping-particle" : "", "family" : "O", "given" : "SJ", "non-dropping-particle" : "", "parse-names" : false, "suffix" : "" }, { "dropping-particle" : "", "family" : "O", "given" : "NJ", "non-dropping-particle" : "", "parse-names" : false, "suffix" : "" }, { "dropping-particle" : "", "family" : "Ellasziw", "given" : "M", "non-dropping-particle" : "", "parse-names" : false, "suffix" : "" }, { "dropping-particle" : "", "family" : "Young", "given" : "SL", "non-dropping-particle" : "", "parse-names" : false, "suffix" : "" }, { "dropping-particle" : "", "family" : "Woodbury", "given" : "MG", "non-dropping-particle" : "", "parse-names" : false, "suffix" : "" }, { "dropping-particle" : "", "family" : "Fleld", "given" : "KF", "non-dropping-particle" : "", "parse-names" : false, "suffix" : "" }, { "dropping-particle" : "", "family" : "Haas", "given" : "BM", "non-dropping-particle" : "", "parse-names" : false, "suffix" : "" }, { "dropping-particle" : "", "family" : "Bergstrom", "given" : "E", "non-dropping-particle" : "", "parse-names" : false, "suffix" : "" }, { "dropping-particle" : "", "family" : "Jamous", "given" : "A", "non-dropping-particle" : "", "parse-names" : false, "suffix" : "" }, { "dropping-particle" : "", "family" : "Bennie", "given" : "A", "non-dropping-particle" : "", "parse-names" : false, "suffix" : "" }, { "dropping-particle" : "", "family" : "Ansari", "given" : "NN", "non-dropping-particle" : "", "parse-names" : false, "suffix" : "" }, { "dropping-particle" : "", "family" : "Naghdi", "given" : "S", "non-dropping-particle" : "", "parse-names" : false, "suffix" : "" }, { "dropping-particle" : "", "family" : "Moammeri", "given" : "H", "non-dropping-particle" : "", "parse-names" : false, "suffix" : "" }, { "dropping-particle" : "", "family" : "Jalaie", "given" : "S", "non-dropping-particle" : "", "parse-names" : false, "suffix" : "" } ], "container-title" : "BMC Musculoskeletal Disorders", "id" : "ITEM-1", "issue" : "1", "issued" : { "date-parts" : [ [ "2008", "12", "10" ] ] }, "page" : "44", "publisher" : "BioMed Central", "title" : "Reliability of Ashworth and Modified Ashworth Scales in Children with Spastic Cerebral Palsy", "type" : "article-journal", "volume" : "9" }, "uris" : [ "http://www.mendeley.com/documents/?uuid=34ac3f79-0a61-37f9-a7a0-8203e5d183b4" ] } ], "mendeley" : { "formattedCitation" : "&lt;sup&gt;23&lt;/sup&gt;", "plainTextFormattedCitation" : "23", "previouslyFormattedCitation" : "&lt;sup&gt;23&lt;/sup&gt;" }, "properties" : { "noteIndex" : 0 }, "schema" : "https://github.com/citation-style-language/schema/raw/master/csl-citation.json" }</w:instrText>
      </w:r>
      <w:r w:rsidR="00F43645">
        <w:fldChar w:fldCharType="separate"/>
      </w:r>
      <w:r w:rsidR="00DF4C79" w:rsidRPr="00DF4C79">
        <w:rPr>
          <w:noProof/>
          <w:vertAlign w:val="superscript"/>
        </w:rPr>
        <w:t>23</w:t>
      </w:r>
      <w:r w:rsidR="00F43645">
        <w:fldChar w:fldCharType="end"/>
      </w:r>
      <w:r w:rsidR="001A0DAD">
        <w:t>)</w:t>
      </w:r>
      <w:r w:rsidR="00460503">
        <w:t xml:space="preserve">; Unified Parkinson’s Disease Rating Scale motor score </w:t>
      </w:r>
      <w:r w:rsidR="001A0DAD">
        <w:t>(</w:t>
      </w:r>
      <w:r w:rsidR="00460503">
        <w:t>ICC</w:t>
      </w:r>
      <w:r w:rsidR="001A0DAD">
        <w:t>:</w:t>
      </w:r>
      <w:r w:rsidR="00460503">
        <w:t xml:space="preserve"> 0.82</w:t>
      </w:r>
      <w:r w:rsidR="00460503">
        <w:fldChar w:fldCharType="begin" w:fldLock="1"/>
      </w:r>
      <w:r w:rsidR="00DF4C79">
        <w:instrText>ADDIN CSL_CITATION { "citationItems" : [ { "id" : "ITEM-1", "itemData" : { "DOI" : "10.1002/mds.870090114", "ISSN" : "0885-3185", "author" : [ { "dropping-particle" : "", "family" : "Richards", "given" : "Marcus", "non-dropping-particle" : "", "parse-names" : false, "suffix" : "" }, { "dropping-particle" : "", "family" : "Marder", "given" : "Karen", "non-dropping-particle" : "", "parse-names" : false, "suffix" : "" }, { "dropping-particle" : "", "family" : "Cote", "given" : "Lucien", "non-dropping-particle" : "", "parse-names" : false, "suffix" : "" }, { "dropping-particle" : "", "family" : "Mayeux", "given" : "Richard", "non-dropping-particle" : "", "parse-names" : false, "suffix" : "" } ], "container-title" : "Movement Disorders", "id" : "ITEM-1", "issue" : "1", "issued" : { "date-parts" : [ [ "1994" ] ] }, "page" : "89-91", "publisher" : "Wiley Subscription Services, Inc., A Wiley Company", "title" : "Interrater reliability of the unified Parkinson's disease rating scale motor examination", "type" : "article-journal", "volume" : "9" }, "uris" : [ "http://www.mendeley.com/documents/?uuid=5978c639-1491-3852-94c6-172da4a45807" ] } ], "mendeley" : { "formattedCitation" : "&lt;sup&gt;24&lt;/sup&gt;", "plainTextFormattedCitation" : "24", "previouslyFormattedCitation" : "&lt;sup&gt;24&lt;/sup&gt;" }, "properties" : { "noteIndex" : 0 }, "schema" : "https://github.com/citation-style-language/schema/raw/master/csl-citation.json" }</w:instrText>
      </w:r>
      <w:r w:rsidR="00460503">
        <w:fldChar w:fldCharType="separate"/>
      </w:r>
      <w:r w:rsidR="00DF4C79" w:rsidRPr="00DF4C79">
        <w:rPr>
          <w:noProof/>
          <w:vertAlign w:val="superscript"/>
        </w:rPr>
        <w:t>24</w:t>
      </w:r>
      <w:r w:rsidR="00460503">
        <w:fldChar w:fldCharType="end"/>
      </w:r>
      <w:r w:rsidR="001A0DAD">
        <w:t>)</w:t>
      </w:r>
      <w:r w:rsidR="00460503">
        <w:t>.</w:t>
      </w:r>
    </w:p>
    <w:p w14:paraId="40D99EAB" w14:textId="17926575" w:rsidR="003543A2" w:rsidRDefault="00E3020A" w:rsidP="008E1CAA">
      <w:r>
        <w:lastRenderedPageBreak/>
        <w:t>A</w:t>
      </w:r>
      <w:r w:rsidR="00B804B4">
        <w:t xml:space="preserve">greement </w:t>
      </w:r>
      <w:r w:rsidR="002768C6">
        <w:t>on the classification of movement disorder and the presence of symptoms in body regions</w:t>
      </w:r>
      <w:r w:rsidR="00460503">
        <w:t xml:space="preserve"> </w:t>
      </w:r>
      <w:r w:rsidR="00B804B4">
        <w:t xml:space="preserve">was </w:t>
      </w:r>
      <w:r w:rsidR="00A55D80">
        <w:t xml:space="preserve">assessed with </w:t>
      </w:r>
      <w:r w:rsidR="00F67FBF">
        <w:t>Light</w:t>
      </w:r>
      <w:r w:rsidR="00A55D80">
        <w:t>’s kappa and found</w:t>
      </w:r>
      <w:r w:rsidR="00581AF8">
        <w:t xml:space="preserve"> to</w:t>
      </w:r>
      <w:r w:rsidR="00A55D80">
        <w:t xml:space="preserve"> be highly variable, with values ranging from </w:t>
      </w:r>
      <w:r w:rsidR="00C022F3">
        <w:t>no agreement</w:t>
      </w:r>
      <w:r w:rsidR="00A55D80">
        <w:t xml:space="preserve"> to 0.</w:t>
      </w:r>
      <w:r w:rsidR="0065130B">
        <w:t>80</w:t>
      </w:r>
      <w:r w:rsidR="00A55D80">
        <w:t xml:space="preserve">. It has been suggested that a kappa value below 0.60 indicates inadequate agreement and little confidence </w:t>
      </w:r>
      <w:r w:rsidR="003543A2">
        <w:t xml:space="preserve">should be </w:t>
      </w:r>
      <w:r w:rsidR="00E72B20">
        <w:t xml:space="preserve">placed in the </w:t>
      </w:r>
      <w:proofErr w:type="spellStart"/>
      <w:r w:rsidR="00E72B20">
        <w:t>measure</w:t>
      </w:r>
      <w:proofErr w:type="spellEnd"/>
      <w:r w:rsidR="00A55D80">
        <w:fldChar w:fldCharType="begin" w:fldLock="1"/>
      </w:r>
      <w:r w:rsidR="00DF4C79">
        <w:instrText>ADDIN CSL_CITATION { "citationItems" : [ { "id" : "ITEM-1", "itemData" : { "ISSN" : "1330-0962", "PMID" : "23092060", "abstract" : "The kappa statistic is frequently used to test interrater reliability. The importance of rater reliability lies in the fact that it represents the extent to which the data collected in the study are correct representations of the variables measured. Measurement of the extent to which data collectors (raters) assign the same score to the same variable is called interrater reliability. While there have been a variety of methods to measure interrater reliability, traditionally it was measured as percent agreement, calculated as the number of agreement scores divided by the total number of scores. In 1960, Jacob Cohen critiqued use of percent agreement due to its inability to account for chance agreement. He introduced the Cohen's kappa, developed to account for the possibility that raters actually guess on at least some variables due to uncertainty. Like most correlation statistics, the kappa can range from -1 to +1. While the kappa is one of the most commonly used statistics to test interrater reliability, it has limitations. Judgments about what level of kappa should be acceptable for health research are questioned. Cohen's suggested interpretation may be too lenient for health related studies because it implies that a score as low as 0.41 might be acceptable. Kappa and percent agreement are compared, and levels for both kappa and percent agreement that should be demanded in healthcare studies are suggested.", "author" : [ { "dropping-particle" : "", "family" : "McHugh", "given" : "Mary L", "non-dropping-particle" : "", "parse-names" : false, "suffix" : "" } ], "container-title" : "Biochemia medica", "id" : "ITEM-1", "issue" : "3", "issued" : { "date-parts" : [ [ "2012" ] ] }, "page" : "276-82", "publisher" : "Croatian Society for Medical Biochemistry and Laboratory Medicine", "title" : "Interrater reliability: the kappa statistic.", "type" : "article-journal", "volume" : "22" }, "uris" : [ "http://www.mendeley.com/documents/?uuid=b5c614bc-519a-39ee-ad91-98a08b0a7987" ] } ], "mendeley" : { "formattedCitation" : "&lt;sup&gt;25&lt;/sup&gt;", "plainTextFormattedCitation" : "25", "previouslyFormattedCitation" : "&lt;sup&gt;25&lt;/sup&gt;" }, "properties" : { "noteIndex" : 0 }, "schema" : "https://github.com/citation-style-language/schema/raw/master/csl-citation.json" }</w:instrText>
      </w:r>
      <w:r w:rsidR="00A55D80">
        <w:fldChar w:fldCharType="separate"/>
      </w:r>
      <w:r w:rsidR="00DF4C79" w:rsidRPr="00DF4C79">
        <w:rPr>
          <w:noProof/>
          <w:vertAlign w:val="superscript"/>
        </w:rPr>
        <w:t>25</w:t>
      </w:r>
      <w:r w:rsidR="00A55D80">
        <w:fldChar w:fldCharType="end"/>
      </w:r>
      <w:r w:rsidR="00A55D80">
        <w:t xml:space="preserve">. </w:t>
      </w:r>
      <w:r w:rsidR="00581AF8">
        <w:t xml:space="preserve">In the present study, </w:t>
      </w:r>
      <w:r w:rsidR="001D44B4">
        <w:t>all</w:t>
      </w:r>
      <w:r w:rsidR="00581AF8">
        <w:t xml:space="preserve"> movement disorder classifications</w:t>
      </w:r>
      <w:r w:rsidR="003543A2">
        <w:t xml:space="preserve"> </w:t>
      </w:r>
      <w:r w:rsidR="001D44B4">
        <w:t>in</w:t>
      </w:r>
      <w:r w:rsidR="003543A2">
        <w:t xml:space="preserve"> the PMDRS except resting tremor</w:t>
      </w:r>
      <w:r w:rsidR="00581AF8">
        <w:t xml:space="preserve"> and the presence of symptoms at many body regions</w:t>
      </w:r>
      <w:r w:rsidR="003543A2">
        <w:t xml:space="preserve"> for both scales</w:t>
      </w:r>
      <w:r w:rsidR="00581AF8">
        <w:t xml:space="preserve"> had insufficient agreement according to this cut-off value</w:t>
      </w:r>
      <w:r w:rsidR="003543A2">
        <w:t xml:space="preserve">. </w:t>
      </w:r>
    </w:p>
    <w:p w14:paraId="48759B03" w14:textId="7F3773C8" w:rsidR="00F51615" w:rsidRDefault="00581AF8" w:rsidP="008E1CAA">
      <w:r>
        <w:t xml:space="preserve">The low agreement of movement disorder classification supports our argument for removing </w:t>
      </w:r>
      <w:r w:rsidR="007E07E6">
        <w:t>this from step from our revised scale. The results also support our move to condense the number o</w:t>
      </w:r>
      <w:r w:rsidR="001D44B4">
        <w:t xml:space="preserve">f body regions in </w:t>
      </w:r>
      <w:r w:rsidR="00CF7BDA">
        <w:t>the</w:t>
      </w:r>
      <w:r w:rsidR="001D44B4">
        <w:t xml:space="preserve"> revised scale</w:t>
      </w:r>
      <w:r w:rsidR="003543A2">
        <w:t xml:space="preserve"> </w:t>
      </w:r>
      <w:r w:rsidR="007E07E6">
        <w:t>as there were no observed symptoms (or a negligible number) in 4 out of 13 regions</w:t>
      </w:r>
      <w:r w:rsidR="001D44B4">
        <w:t xml:space="preserve"> of the PMDRS</w:t>
      </w:r>
      <w:r w:rsidR="007E07E6">
        <w:t>.</w:t>
      </w:r>
      <w:r w:rsidR="003543A2">
        <w:t xml:space="preserve"> Reducing the number of body region categories</w:t>
      </w:r>
      <w:r w:rsidR="00E80975">
        <w:t xml:space="preserve"> in the S-FMDRS</w:t>
      </w:r>
      <w:r w:rsidR="003543A2">
        <w:t xml:space="preserve"> </w:t>
      </w:r>
      <w:r w:rsidR="00E80975">
        <w:t>appeared to improve agreement</w:t>
      </w:r>
      <w:r w:rsidR="003543A2">
        <w:t xml:space="preserve">, though in our sample only 4 of 7 body regions had a kappa value greater than 0.60. </w:t>
      </w:r>
      <w:r w:rsidR="00F51615">
        <w:t>A number of changes could be employed to improve agreement on symptomatic body regions</w:t>
      </w:r>
      <w:r w:rsidR="005C3B85">
        <w:t xml:space="preserve"> in future studies</w:t>
      </w:r>
      <w:r w:rsidR="00F51615">
        <w:t xml:space="preserve">. This might include stricter standardisation of the scoring procedure, </w:t>
      </w:r>
      <w:r w:rsidR="005C3B85">
        <w:t xml:space="preserve">scoring </w:t>
      </w:r>
      <w:r w:rsidR="00F51615">
        <w:t xml:space="preserve">calibration with an experienced scale user, improving quality or length of video footage and </w:t>
      </w:r>
      <w:r w:rsidR="004619BC">
        <w:t xml:space="preserve">requiring the </w:t>
      </w:r>
      <w:proofErr w:type="spellStart"/>
      <w:r w:rsidR="004619BC">
        <w:t>rater</w:t>
      </w:r>
      <w:proofErr w:type="spellEnd"/>
      <w:r w:rsidR="004619BC">
        <w:t xml:space="preserve"> to </w:t>
      </w:r>
      <w:r w:rsidR="00F51615">
        <w:t>double check each score.</w:t>
      </w:r>
    </w:p>
    <w:p w14:paraId="24133ED1" w14:textId="6074E2DE" w:rsidR="00FC4393" w:rsidRDefault="00AE50B1" w:rsidP="00E3020A">
      <w:r>
        <w:t>Concurrent</w:t>
      </w:r>
      <w:r w:rsidR="008E1CAA">
        <w:t xml:space="preserve"> </w:t>
      </w:r>
      <w:r w:rsidR="00E3020A">
        <w:t xml:space="preserve">validity </w:t>
      </w:r>
      <w:r w:rsidR="008E1CAA">
        <w:t xml:space="preserve">is the </w:t>
      </w:r>
      <w:r w:rsidR="00B804B4">
        <w:t>extent to which a</w:t>
      </w:r>
      <w:r w:rsidR="005C3B85">
        <w:t xml:space="preserve"> measure </w:t>
      </w:r>
      <w:r w:rsidR="00B804B4">
        <w:t>corresponds to a pre</w:t>
      </w:r>
      <w:r w:rsidR="00044A49">
        <w:t xml:space="preserve">viously established </w:t>
      </w:r>
      <w:r w:rsidR="005C3B85">
        <w:t>measure</w:t>
      </w:r>
      <w:r w:rsidR="00044A49">
        <w:t xml:space="preserve">. </w:t>
      </w:r>
      <w:r w:rsidR="00E3020A">
        <w:t xml:space="preserve">Concurrent validity was demonstrated with </w:t>
      </w:r>
      <w:r w:rsidR="00044A49">
        <w:t xml:space="preserve">a significant high correlation between the </w:t>
      </w:r>
      <w:r w:rsidR="00203C6F">
        <w:t>S-FMDRS</w:t>
      </w:r>
      <w:r w:rsidR="00044A49">
        <w:t xml:space="preserve"> and the original scale and a significant moderate correlation </w:t>
      </w:r>
      <w:r w:rsidR="00E3020A">
        <w:t>with other</w:t>
      </w:r>
      <w:r w:rsidR="005C3B85">
        <w:t xml:space="preserve"> measures of disability:</w:t>
      </w:r>
      <w:r w:rsidR="00044A49">
        <w:t xml:space="preserve"> SF36 Physical Function</w:t>
      </w:r>
      <w:r w:rsidR="005C3B85">
        <w:t xml:space="preserve"> domain</w:t>
      </w:r>
      <w:r w:rsidR="00044A49">
        <w:t xml:space="preserve"> and </w:t>
      </w:r>
      <w:r w:rsidR="001A0DAD">
        <w:t xml:space="preserve">a timed </w:t>
      </w:r>
      <w:r w:rsidR="00044A49">
        <w:t>10 metre walk</w:t>
      </w:r>
      <w:r w:rsidR="00FC4393">
        <w:t>.</w:t>
      </w:r>
      <w:r w:rsidR="005C3B85">
        <w:t xml:space="preserve"> </w:t>
      </w:r>
    </w:p>
    <w:p w14:paraId="3C68CA1C" w14:textId="7616981D" w:rsidR="00EF30A1" w:rsidRDefault="00EF30A1" w:rsidP="00EF30A1">
      <w:r>
        <w:t xml:space="preserve">When we tested the </w:t>
      </w:r>
      <w:r w:rsidR="00203C6F">
        <w:t>S-FMDRS</w:t>
      </w:r>
      <w:r>
        <w:t xml:space="preserve"> in the randomised feasibility study, it proved to be a sensitive measure of change. The effect size of 0.79 compared favourably to other measures tested in this study, including SF36 Physical function domain (</w:t>
      </w:r>
      <w:r w:rsidR="00E72B20">
        <w:rPr>
          <w:i/>
        </w:rPr>
        <w:t>d=</w:t>
      </w:r>
      <w:r>
        <w:t>0.70), 10 metre timed walk (</w:t>
      </w:r>
      <w:r w:rsidR="00E72B20" w:rsidRPr="00E72B20">
        <w:t>d</w:t>
      </w:r>
      <w:r w:rsidR="00E72B20">
        <w:t>=</w:t>
      </w:r>
      <w:r w:rsidRPr="00E72B20">
        <w:t>0</w:t>
      </w:r>
      <w:r>
        <w:t xml:space="preserve">.72) and the functional mobility </w:t>
      </w:r>
      <w:proofErr w:type="spellStart"/>
      <w:r>
        <w:t>scale</w:t>
      </w:r>
      <w:proofErr w:type="spellEnd"/>
      <w:r w:rsidR="00110421">
        <w:fldChar w:fldCharType="begin" w:fldLock="1"/>
      </w:r>
      <w:r w:rsidR="00DF4C79">
        <w:instrText>ADDIN CSL_CITATION { "citationItems" : [ { "id" : "ITEM-1", "itemData" : { "ISSN" : "0271-6798", "PMID" : "15308901", "abstract" : "We devised a new Functional Mobility Scale (FMS) to describe functional mobility in children with cerebral palsy, as an aid to communication between orthopaedic surgeons and health professionals. The unique feature of the FMS is the freedom to score functional mobility over three distinct distances, chosen to represent mobility in the home, at school and in the wider community. We examined the construct, content, and concurrent validity of the FMS in a cohort of 310 children with cerebral palsy by comparing the FMS to existing scales and to instrumented measures of physical function. We demonstrated the scale to be both valid and reliable in a consecutive population sample of 310 children with cerebral palsy seen in our tertiary referral center. The FMS was useful for discriminating between large groups of children with varying levels of disabilities and functional mobility and sensitive to detect change after operative intervention.", "author" : [ { "dropping-particle" : "", "family" : "Graham", "given" : "H Kerr", "non-dropping-particle" : "", "parse-names" : false, "suffix" : "" }, { "dropping-particle" : "", "family" : "Harvey", "given" : "Adrienne", "non-dropping-particle" : "", "parse-names" : false, "suffix" : "" }, { "dropping-particle" : "", "family" : "Rodda", "given" : "Jillian", "non-dropping-particle" : "", "parse-names" : false, "suffix" : "" }, { "dropping-particle" : "", "family" : "Nattrass", "given" : "Gary R", "non-dropping-particle" : "", "parse-names" : false, "suffix" : "" }, { "dropping-particle" : "", "family" : "Pirpiris", "given" : "Marinis", "non-dropping-particle" : "", "parse-names" : false, "suffix" : "" } ], "container-title" : "Journal of pediatric orthopedics", "id" : "ITEM-1", "issue" : "5", "issued" : { "date-parts" : [ [ "2004", "1" ] ] }, "page" : "514-20", "title" : "The Functional Mobility Scale (FMS).", "type" : "article-journal", "volume" : "24" }, "uris" : [ "http://www.mendeley.com/documents/?uuid=abdb2d73-9186-464a-9775-c04b6cc0a8cc" ] } ], "mendeley" : { "formattedCitation" : "&lt;sup&gt;26&lt;/sup&gt;", "plainTextFormattedCitation" : "26", "previouslyFormattedCitation" : "&lt;sup&gt;26&lt;/sup&gt;" }, "properties" : { "noteIndex" : 0 }, "schema" : "https://github.com/citation-style-language/schema/raw/master/csl-citation.json" }</w:instrText>
      </w:r>
      <w:r w:rsidR="00110421">
        <w:fldChar w:fldCharType="separate"/>
      </w:r>
      <w:r w:rsidR="00DF4C79" w:rsidRPr="00DF4C79">
        <w:rPr>
          <w:noProof/>
          <w:vertAlign w:val="superscript"/>
        </w:rPr>
        <w:t>26</w:t>
      </w:r>
      <w:r w:rsidR="00110421">
        <w:fldChar w:fldCharType="end"/>
      </w:r>
      <w:r>
        <w:t xml:space="preserve"> (</w:t>
      </w:r>
      <w:r w:rsidR="00E72B20" w:rsidRPr="00E72B20">
        <w:t>d</w:t>
      </w:r>
      <w:r w:rsidR="00E72B20">
        <w:t>=</w:t>
      </w:r>
      <w:r w:rsidRPr="00E72B20">
        <w:t>0</w:t>
      </w:r>
      <w:r>
        <w:t>.79).</w:t>
      </w:r>
    </w:p>
    <w:p w14:paraId="4AA12B9F" w14:textId="7FB7B81F" w:rsidR="00FC4393" w:rsidRDefault="00FC4393" w:rsidP="00E3020A">
      <w:r>
        <w:t xml:space="preserve">The </w:t>
      </w:r>
      <w:r w:rsidR="00203C6F">
        <w:t>S-FMDRS</w:t>
      </w:r>
      <w:r>
        <w:t xml:space="preserve"> performed similarly to</w:t>
      </w:r>
      <w:r w:rsidR="00110421">
        <w:t xml:space="preserve"> the original scale, but had certain</w:t>
      </w:r>
      <w:r w:rsidR="005C3B85">
        <w:t xml:space="preserve"> advantages</w:t>
      </w:r>
      <w:r w:rsidR="00110421">
        <w:t>.</w:t>
      </w:r>
      <w:r>
        <w:t xml:space="preserve"> It was quicker to complete. It does not req</w:t>
      </w:r>
      <w:r w:rsidR="00254430">
        <w:t>uire specialist movement disorder training</w:t>
      </w:r>
      <w:r w:rsidR="00C23341">
        <w:t xml:space="preserve"> in order to categorise movement disorder phenomena</w:t>
      </w:r>
      <w:r w:rsidR="005C3B85">
        <w:t>,</w:t>
      </w:r>
      <w:r w:rsidR="00254430">
        <w:t xml:space="preserve"> allowing use by non-neurologists. </w:t>
      </w:r>
      <w:r w:rsidR="001A0DAD">
        <w:t xml:space="preserve">This is an important issue in its utility, as those administering treatment (and therefore wishing to assess outcome) in patients with FMD are often not movement disorder neurologists, but are other health professionals such as physiotherapists. In this regard we found high inter-rater reliability between the physiotherapy and movement disorder specialist </w:t>
      </w:r>
      <w:proofErr w:type="spellStart"/>
      <w:r w:rsidR="001A0DAD">
        <w:t>raters</w:t>
      </w:r>
      <w:proofErr w:type="spellEnd"/>
      <w:r w:rsidR="001A0DAD">
        <w:t>. Lastly the revised scale allow</w:t>
      </w:r>
      <w:r w:rsidR="004D0211">
        <w:t>s the rating of</w:t>
      </w:r>
      <w:r w:rsidR="0065130B">
        <w:t xml:space="preserve"> </w:t>
      </w:r>
      <w:r w:rsidR="001B4F2F">
        <w:t>observed</w:t>
      </w:r>
      <w:r w:rsidR="004D0211">
        <w:t xml:space="preserve"> </w:t>
      </w:r>
      <w:r w:rsidR="0065130B">
        <w:t xml:space="preserve">movement impairment due to </w:t>
      </w:r>
      <w:r w:rsidR="004D0211">
        <w:t>weaknes</w:t>
      </w:r>
      <w:r w:rsidR="0065130B">
        <w:t>s</w:t>
      </w:r>
      <w:r w:rsidR="001B4F2F">
        <w:t xml:space="preserve">; in the </w:t>
      </w:r>
      <w:r w:rsidR="001B4F2F">
        <w:lastRenderedPageBreak/>
        <w:t xml:space="preserve">original scale functional weakness of the lower limbs or trunk may be accounted for in the gait score, </w:t>
      </w:r>
      <w:r w:rsidR="00A05643">
        <w:t xml:space="preserve">however </w:t>
      </w:r>
      <w:r w:rsidR="001B4F2F">
        <w:t>there is no equivalent for scoring upper limb weakness within the scoring matrix</w:t>
      </w:r>
      <w:r w:rsidR="00397436">
        <w:t xml:space="preserve"> of the original scale</w:t>
      </w:r>
      <w:r w:rsidR="001B4F2F">
        <w:t xml:space="preserve">. </w:t>
      </w:r>
      <w:r w:rsidR="00254430">
        <w:t xml:space="preserve">Further psychometric assessment is recommended to refine the </w:t>
      </w:r>
      <w:r w:rsidR="00B96F9F">
        <w:t>S-FMDRS</w:t>
      </w:r>
      <w:r w:rsidR="00EF30A1">
        <w:t xml:space="preserve"> and highlight limitations, </w:t>
      </w:r>
      <w:r w:rsidR="00B65F57">
        <w:t>including assessment of construct validity and test-</w:t>
      </w:r>
      <w:r w:rsidR="00B96F9F">
        <w:t>retest</w:t>
      </w:r>
      <w:r w:rsidR="00B65F57">
        <w:t xml:space="preserve"> reliability</w:t>
      </w:r>
      <w:r w:rsidR="001B4F2F">
        <w:t>.</w:t>
      </w:r>
    </w:p>
    <w:p w14:paraId="63D754DF" w14:textId="4B730699" w:rsidR="00C961A8" w:rsidRDefault="00772394" w:rsidP="00A47246">
      <w:r>
        <w:t>There are a number of limitations</w:t>
      </w:r>
      <w:r w:rsidR="00D46384">
        <w:t xml:space="preserve"> to this study. Although the sample size was sufficient to determine inter-rater reliability of total score</w:t>
      </w:r>
      <w:r w:rsidR="00C961A8">
        <w:t>s</w:t>
      </w:r>
      <w:r w:rsidR="00D46384">
        <w:t xml:space="preserve">, there were insufficient observations </w:t>
      </w:r>
      <w:r w:rsidR="00C961A8">
        <w:t>of some of the movement disorder categories to</w:t>
      </w:r>
      <w:r w:rsidR="004D0211">
        <w:t xml:space="preserve"> adequately assess agreement. Our analysis</w:t>
      </w:r>
      <w:r w:rsidR="00C961A8">
        <w:t xml:space="preserve"> only compared agreement of </w:t>
      </w:r>
      <w:r w:rsidR="001B4F2F">
        <w:t>three neurologists</w:t>
      </w:r>
      <w:r w:rsidR="00C961A8">
        <w:t>. We did not assess each video recording for quality, a factor that may have impacted on reliability of scoring.</w:t>
      </w:r>
      <w:r w:rsidR="00A47246">
        <w:t xml:space="preserve"> </w:t>
      </w:r>
      <w:r w:rsidR="001B4F2F">
        <w:t>T</w:t>
      </w:r>
      <w:r w:rsidR="00A47246">
        <w:t>he results can only be generalised to patients meeting the inclusion criteria and therefore do not necessarily extend to patients with significant psychopatho</w:t>
      </w:r>
      <w:r w:rsidR="00BD057B">
        <w:t>logy</w:t>
      </w:r>
      <w:r w:rsidR="00110421">
        <w:t>,</w:t>
      </w:r>
      <w:r w:rsidR="00BD057B">
        <w:t xml:space="preserve"> more extreme disability</w:t>
      </w:r>
      <w:r w:rsidR="00A47246">
        <w:t xml:space="preserve"> and those with </w:t>
      </w:r>
      <w:r w:rsidR="00110421">
        <w:t xml:space="preserve">a primary complaint of </w:t>
      </w:r>
      <w:r w:rsidR="00A47246">
        <w:t xml:space="preserve">pain </w:t>
      </w:r>
      <w:r w:rsidR="00110421">
        <w:t xml:space="preserve">or fatigue </w:t>
      </w:r>
      <w:r w:rsidR="00DE1EF9">
        <w:t>in addition to functional motor symptoms. These patients were excluded from the current study as they were not considered appropriate candidates for the feasibility study intervention</w:t>
      </w:r>
      <w:r w:rsidR="00110421">
        <w:t>.</w:t>
      </w:r>
      <w:r w:rsidR="001B4F2F">
        <w:t xml:space="preserve"> Finally, both the original and simplified scales are ‘snap-shot’ measures, which may have low test-retest reliability due to the variable nature of FMD severity.</w:t>
      </w:r>
    </w:p>
    <w:p w14:paraId="557B3A83" w14:textId="77777777" w:rsidR="008E1CAA" w:rsidRDefault="008E1CAA" w:rsidP="008E1CAA">
      <w:pPr>
        <w:pStyle w:val="Heading1"/>
      </w:pPr>
      <w:r>
        <w:t>Conclusion</w:t>
      </w:r>
    </w:p>
    <w:p w14:paraId="0A575167" w14:textId="66100D9C" w:rsidR="00772394" w:rsidRDefault="00772394" w:rsidP="00772394">
      <w:r>
        <w:t xml:space="preserve">Scores obtained from the </w:t>
      </w:r>
      <w:r w:rsidR="00203C6F">
        <w:t>S-</w:t>
      </w:r>
      <w:proofErr w:type="spellStart"/>
      <w:r w:rsidR="00203C6F">
        <w:t>FMDRS</w:t>
      </w:r>
      <w:proofErr w:type="spellEnd"/>
      <w:r>
        <w:t xml:space="preserve"> have high inter-rater reliability when used by experienced neurologists and physiotherapists. The limitations </w:t>
      </w:r>
      <w:r w:rsidR="0019025A">
        <w:t xml:space="preserve">of the </w:t>
      </w:r>
      <w:r w:rsidR="00203C6F">
        <w:t>S-FMDRS</w:t>
      </w:r>
      <w:r w:rsidR="0019025A">
        <w:t xml:space="preserve"> include low agreement on</w:t>
      </w:r>
      <w:r>
        <w:t xml:space="preserve"> the presence of symptoms at </w:t>
      </w:r>
      <w:r w:rsidR="004D0211">
        <w:t>some</w:t>
      </w:r>
      <w:r>
        <w:t xml:space="preserve"> body region</w:t>
      </w:r>
      <w:r w:rsidR="004D0211">
        <w:t>s</w:t>
      </w:r>
      <w:r>
        <w:t xml:space="preserve"> and </w:t>
      </w:r>
      <w:r w:rsidR="0019025A">
        <w:t xml:space="preserve">unknown </w:t>
      </w:r>
      <w:r>
        <w:t xml:space="preserve">test-retest reliability. With acknowledgement of these limitations, the </w:t>
      </w:r>
      <w:r w:rsidR="00203C6F">
        <w:t>S-FMDRS</w:t>
      </w:r>
      <w:r>
        <w:t xml:space="preserve"> enables a</w:t>
      </w:r>
      <w:r w:rsidR="004D5CC0">
        <w:t xml:space="preserve"> </w:t>
      </w:r>
      <w:r>
        <w:t xml:space="preserve">blinded, clinician rated assessment </w:t>
      </w:r>
      <w:r w:rsidR="0019025A">
        <w:t xml:space="preserve">of overall symptom severity </w:t>
      </w:r>
      <w:r w:rsidR="001A0DAD">
        <w:t xml:space="preserve">in FMD </w:t>
      </w:r>
      <w:r>
        <w:t>for research purposes</w:t>
      </w:r>
      <w:r w:rsidR="004D5CC0">
        <w:t xml:space="preserve"> that is sensitive to change</w:t>
      </w:r>
      <w:r>
        <w:t xml:space="preserve">. We would recommend that if using </w:t>
      </w:r>
      <w:r w:rsidR="003D1889">
        <w:t>either rating</w:t>
      </w:r>
      <w:r>
        <w:t xml:space="preserve"> scale</w:t>
      </w:r>
      <w:r w:rsidR="003D1889">
        <w:t>s</w:t>
      </w:r>
      <w:r w:rsidR="004D5CC0">
        <w:t xml:space="preserve"> (PMDRS or S-FMDRS)</w:t>
      </w:r>
      <w:r>
        <w:t>, results are co</w:t>
      </w:r>
      <w:r w:rsidR="00D46384">
        <w:t>nsidered alongside other measures, including patient reported outcomes with a set recall period to account for symptom variability, and measures of physical, psychological and social function.</w:t>
      </w:r>
      <w:r w:rsidR="00C23341">
        <w:t xml:space="preserve"> Further work to develop valid and reliable outcome measures for FMD is required.</w:t>
      </w:r>
    </w:p>
    <w:p w14:paraId="09F5953B" w14:textId="2D6AB9FF" w:rsidR="00705E4B" w:rsidRDefault="00705E4B" w:rsidP="006F7977">
      <w:pPr>
        <w:pStyle w:val="Heading1"/>
      </w:pPr>
      <w:r>
        <w:t>Author Roles</w:t>
      </w:r>
    </w:p>
    <w:p w14:paraId="62356762" w14:textId="26D8F859" w:rsidR="00205AD0" w:rsidRDefault="00205AD0" w:rsidP="00205AD0">
      <w:r>
        <w:t>Research project conception and</w:t>
      </w:r>
      <w:r w:rsidR="00705E4B">
        <w:t xml:space="preserve"> organisation</w:t>
      </w:r>
      <w:r>
        <w:t>: Glenn Nielsen and Mark Edwards. Execution of assessments: Lucia Ricciardi, Anne Marta</w:t>
      </w:r>
      <w:r w:rsidRPr="00730105">
        <w:t xml:space="preserve"> Meppelink</w:t>
      </w:r>
      <w:r w:rsidR="00DE5B10">
        <w:t>, Tiago Teodoro</w:t>
      </w:r>
      <w:r w:rsidRPr="00730105">
        <w:t xml:space="preserve"> </w:t>
      </w:r>
      <w:r>
        <w:t xml:space="preserve">and Kate Holt. Statistical Analysis design and execution: Glenn Nielsen. All authors reviewed the analysis. </w:t>
      </w:r>
      <w:r>
        <w:lastRenderedPageBreak/>
        <w:t>Manuscript preparation: Glenn Nielsen wrote the first draft, Mark Edwards revised the first draft and all authors reviewe</w:t>
      </w:r>
      <w:r w:rsidR="004D5CC0">
        <w:t>d and critiqued the final draft and later revisions.</w:t>
      </w:r>
      <w:r>
        <w:t xml:space="preserve"> </w:t>
      </w:r>
    </w:p>
    <w:p w14:paraId="006003A7" w14:textId="77777777" w:rsidR="00205AD0" w:rsidRDefault="00205AD0" w:rsidP="006F7977">
      <w:pPr>
        <w:pStyle w:val="Heading1"/>
      </w:pPr>
      <w:r>
        <w:t>Disclosures</w:t>
      </w:r>
    </w:p>
    <w:p w14:paraId="3E19C435" w14:textId="280816B1" w:rsidR="008500CC" w:rsidRPr="008500CC" w:rsidRDefault="008500CC" w:rsidP="008500CC">
      <w:pPr>
        <w:pStyle w:val="Heading2"/>
      </w:pPr>
      <w:r>
        <w:t>Funding Sources and Conflict of Interest</w:t>
      </w:r>
    </w:p>
    <w:p w14:paraId="5FC79E08" w14:textId="423108C9" w:rsidR="008500CC" w:rsidRPr="008C027B" w:rsidRDefault="00264998" w:rsidP="008500CC">
      <w:r w:rsidRPr="00473044">
        <w:t xml:space="preserve">This report is independent research supported by the National Institute for </w:t>
      </w:r>
      <w:r>
        <w:t>H</w:t>
      </w:r>
      <w:r w:rsidRPr="00473044">
        <w:t>ealth Research (NIHR/HEE Clinical Doctoral Research Fellowship, Mr Glenn Nielsen, CDRF-2013-04-034). The views expressed in this publication are those of the authors and not necessarily those of the NHS, the National Institute for Health Research or the Department of Health</w:t>
      </w:r>
      <w:r>
        <w:t>.</w:t>
      </w:r>
      <w:r w:rsidR="008500CC" w:rsidRPr="008500CC">
        <w:t xml:space="preserve"> </w:t>
      </w:r>
      <w:r w:rsidR="008500CC">
        <w:t>The authors have no conflict</w:t>
      </w:r>
      <w:r w:rsidR="00210645">
        <w:t>s</w:t>
      </w:r>
      <w:r w:rsidR="008500CC">
        <w:t xml:space="preserve"> of interest to declare.</w:t>
      </w:r>
    </w:p>
    <w:p w14:paraId="61F7B48E" w14:textId="4B3563AC" w:rsidR="008500CC" w:rsidRDefault="008500CC" w:rsidP="008500CC">
      <w:pPr>
        <w:pStyle w:val="Heading2"/>
      </w:pPr>
      <w:r>
        <w:t>Financial Disclosures for the previous 12 months</w:t>
      </w:r>
    </w:p>
    <w:p w14:paraId="1A34E3B4" w14:textId="4AAC58C0" w:rsidR="008500CC" w:rsidRDefault="00210645" w:rsidP="008500CC">
      <w:r>
        <w:t>Mark Edwards reports a r</w:t>
      </w:r>
      <w:r w:rsidRPr="00210645">
        <w:t>esearch grant from M</w:t>
      </w:r>
      <w:r>
        <w:t xml:space="preserve">edical </w:t>
      </w:r>
      <w:r w:rsidRPr="00210645">
        <w:t>R</w:t>
      </w:r>
      <w:r>
        <w:t xml:space="preserve">esearch </w:t>
      </w:r>
      <w:r w:rsidRPr="00210645">
        <w:t>C</w:t>
      </w:r>
      <w:r>
        <w:t xml:space="preserve">ouncil; financial support for educational activities from </w:t>
      </w:r>
      <w:proofErr w:type="spellStart"/>
      <w:r>
        <w:t>Merz</w:t>
      </w:r>
      <w:proofErr w:type="spellEnd"/>
      <w:r>
        <w:t xml:space="preserve"> Pharma and a lecture honorarium from UCB. </w:t>
      </w:r>
      <w:r w:rsidR="003E4BA1">
        <w:t xml:space="preserve">No </w:t>
      </w:r>
      <w:r>
        <w:t xml:space="preserve">other </w:t>
      </w:r>
      <w:r w:rsidR="003E4BA1">
        <w:t>financial disclosures to report.</w:t>
      </w:r>
    </w:p>
    <w:p w14:paraId="31A4079F" w14:textId="033CFFF1" w:rsidR="005569C2" w:rsidRDefault="005569C2" w:rsidP="008500CC">
      <w:r w:rsidRPr="005569C2">
        <w:t>Tiago Teodoro receives funding from the grant ‘‘</w:t>
      </w:r>
      <w:proofErr w:type="spellStart"/>
      <w:r w:rsidRPr="005569C2">
        <w:t>SFRH</w:t>
      </w:r>
      <w:proofErr w:type="spellEnd"/>
      <w:r w:rsidRPr="005569C2">
        <w:t>/</w:t>
      </w:r>
      <w:proofErr w:type="spellStart"/>
      <w:r w:rsidRPr="005569C2">
        <w:t>SINTD</w:t>
      </w:r>
      <w:proofErr w:type="spellEnd"/>
      <w:r w:rsidRPr="005569C2">
        <w:t>/95267/2013’’, awarded by ‘‘</w:t>
      </w:r>
      <w:proofErr w:type="spellStart"/>
      <w:r w:rsidRPr="005569C2">
        <w:t>Fundação</w:t>
      </w:r>
      <w:proofErr w:type="spellEnd"/>
      <w:r w:rsidRPr="005569C2">
        <w:t xml:space="preserve"> para a </w:t>
      </w:r>
      <w:proofErr w:type="spellStart"/>
      <w:r w:rsidRPr="005569C2">
        <w:t>Ciência</w:t>
      </w:r>
      <w:proofErr w:type="spellEnd"/>
      <w:r w:rsidRPr="005569C2">
        <w:t xml:space="preserve"> e a </w:t>
      </w:r>
      <w:proofErr w:type="spellStart"/>
      <w:r w:rsidRPr="005569C2">
        <w:t>Tecnologia</w:t>
      </w:r>
      <w:proofErr w:type="spellEnd"/>
      <w:r w:rsidRPr="005569C2">
        <w:t>’’.</w:t>
      </w:r>
    </w:p>
    <w:p w14:paraId="61F71065" w14:textId="7929CFF9" w:rsidR="00361F34" w:rsidRDefault="00361F34" w:rsidP="008500CC">
      <w:pPr>
        <w:rPr>
          <w:b/>
        </w:rPr>
      </w:pPr>
      <w:r w:rsidRPr="00361F34">
        <w:rPr>
          <w:b/>
        </w:rPr>
        <w:t>Ethical Compliance Statement</w:t>
      </w:r>
    </w:p>
    <w:p w14:paraId="6E400627" w14:textId="73278EC5" w:rsidR="00361F34" w:rsidRPr="00361F34" w:rsidRDefault="00361F34" w:rsidP="00361F34">
      <w:r w:rsidRPr="00361F34">
        <w:t>We confirm that we have read the Journal’s position on issues involved in ethical publication and affirm that this work is consistent with those guidelines.</w:t>
      </w:r>
    </w:p>
    <w:p w14:paraId="09284567" w14:textId="22F2F9C9" w:rsidR="00361F34" w:rsidRPr="00AE3AEE" w:rsidRDefault="00AE3AEE" w:rsidP="008500CC">
      <w:r w:rsidRPr="00AE3AEE">
        <w:t xml:space="preserve">Approval </w:t>
      </w:r>
      <w:r>
        <w:t xml:space="preserve">for this study </w:t>
      </w:r>
      <w:r w:rsidRPr="00AE3AEE">
        <w:t xml:space="preserve">was obtained from the National Research Ethics Service Committee London – City Road &amp; Hampstead (14/LO/0572). All participants gave written informed consent. </w:t>
      </w:r>
    </w:p>
    <w:p w14:paraId="1970EF0A" w14:textId="77777777" w:rsidR="00C72536" w:rsidRDefault="00C72536" w:rsidP="008014F9">
      <w:pPr>
        <w:pStyle w:val="Heading1"/>
        <w:spacing w:line="480" w:lineRule="auto"/>
      </w:pPr>
      <w:r>
        <w:br w:type="page"/>
      </w:r>
    </w:p>
    <w:p w14:paraId="73F30EC2" w14:textId="64332720" w:rsidR="008E1CAA" w:rsidRPr="004B122A" w:rsidRDefault="008E1CAA" w:rsidP="008014F9">
      <w:pPr>
        <w:pStyle w:val="Heading1"/>
        <w:spacing w:line="480" w:lineRule="auto"/>
      </w:pPr>
      <w:r>
        <w:lastRenderedPageBreak/>
        <w:t>References</w:t>
      </w:r>
    </w:p>
    <w:p w14:paraId="377C7CF5" w14:textId="2C5220EA" w:rsidR="009A0516" w:rsidRPr="009A0516" w:rsidRDefault="00B65F57" w:rsidP="009A0516">
      <w:pPr>
        <w:widowControl w:val="0"/>
        <w:autoSpaceDE w:val="0"/>
        <w:autoSpaceDN w:val="0"/>
        <w:adjustRightInd w:val="0"/>
        <w:spacing w:after="0" w:line="480" w:lineRule="auto"/>
        <w:ind w:left="640" w:hanging="640"/>
        <w:rPr>
          <w:rFonts w:cs="Arial"/>
          <w:noProof/>
          <w:szCs w:val="24"/>
          <w:lang w:val="en-US"/>
        </w:rPr>
      </w:pPr>
      <w:r>
        <w:fldChar w:fldCharType="begin" w:fldLock="1"/>
      </w:r>
      <w:r>
        <w:instrText xml:space="preserve">ADDIN Mendeley Bibliography CSL_BIBLIOGRAPHY </w:instrText>
      </w:r>
      <w:r>
        <w:fldChar w:fldCharType="separate"/>
      </w:r>
      <w:r w:rsidR="009A0516" w:rsidRPr="009A0516">
        <w:rPr>
          <w:rFonts w:cs="Arial"/>
          <w:noProof/>
          <w:szCs w:val="24"/>
          <w:lang w:val="en-US"/>
        </w:rPr>
        <w:t>1</w:t>
      </w:r>
      <w:r w:rsidR="009A0516" w:rsidRPr="009A0516">
        <w:rPr>
          <w:rFonts w:cs="Arial"/>
          <w:noProof/>
          <w:szCs w:val="24"/>
          <w:lang w:val="en-US"/>
        </w:rPr>
        <w:tab/>
        <w:t xml:space="preserve">Matthews A, </w:t>
      </w:r>
      <w:r w:rsidR="00D958FA">
        <w:rPr>
          <w:rFonts w:cs="Arial"/>
          <w:noProof/>
          <w:szCs w:val="24"/>
          <w:lang w:val="en-US"/>
        </w:rPr>
        <w:t>Brown M, Stone J. Inpatient physiotherapy for functional (psychogenic) gait disorder: a case series of 35 p</w:t>
      </w:r>
      <w:r w:rsidR="009A0516" w:rsidRPr="009A0516">
        <w:rPr>
          <w:rFonts w:cs="Arial"/>
          <w:noProof/>
          <w:szCs w:val="24"/>
          <w:lang w:val="en-US"/>
        </w:rPr>
        <w:t xml:space="preserve">atients. </w:t>
      </w:r>
      <w:r w:rsidR="009A0516" w:rsidRPr="009A0516">
        <w:rPr>
          <w:rFonts w:cs="Arial"/>
          <w:i/>
          <w:iCs/>
          <w:noProof/>
          <w:szCs w:val="24"/>
          <w:lang w:val="en-US"/>
        </w:rPr>
        <w:t>Mov Disord Clin Pract</w:t>
      </w:r>
      <w:r w:rsidR="009A0516" w:rsidRPr="009A0516">
        <w:rPr>
          <w:rFonts w:cs="Arial"/>
          <w:noProof/>
          <w:szCs w:val="24"/>
          <w:lang w:val="en-US"/>
        </w:rPr>
        <w:t xml:space="preserve"> 2016; </w:t>
      </w:r>
      <w:r w:rsidR="009A0516" w:rsidRPr="009A0516">
        <w:rPr>
          <w:rFonts w:cs="Arial"/>
          <w:b/>
          <w:bCs/>
          <w:noProof/>
          <w:szCs w:val="24"/>
          <w:lang w:val="en-US"/>
        </w:rPr>
        <w:t>28</w:t>
      </w:r>
      <w:r w:rsidR="009A0516" w:rsidRPr="009A0516">
        <w:rPr>
          <w:rFonts w:cs="Arial"/>
          <w:noProof/>
          <w:szCs w:val="24"/>
          <w:lang w:val="en-US"/>
        </w:rPr>
        <w:t>: 93–6.</w:t>
      </w:r>
    </w:p>
    <w:p w14:paraId="3DD28C49" w14:textId="77777777" w:rsidR="009A0516" w:rsidRPr="009A0516" w:rsidRDefault="009A0516" w:rsidP="009A0516">
      <w:pPr>
        <w:widowControl w:val="0"/>
        <w:autoSpaceDE w:val="0"/>
        <w:autoSpaceDN w:val="0"/>
        <w:adjustRightInd w:val="0"/>
        <w:spacing w:after="0" w:line="480" w:lineRule="auto"/>
        <w:ind w:left="640" w:hanging="640"/>
        <w:rPr>
          <w:rFonts w:cs="Arial"/>
          <w:noProof/>
          <w:szCs w:val="24"/>
          <w:lang w:val="en-US"/>
        </w:rPr>
      </w:pPr>
      <w:r w:rsidRPr="009A0516">
        <w:rPr>
          <w:rFonts w:cs="Arial"/>
          <w:noProof/>
          <w:szCs w:val="24"/>
          <w:lang w:val="en-US"/>
        </w:rPr>
        <w:t>2</w:t>
      </w:r>
      <w:r w:rsidRPr="009A0516">
        <w:rPr>
          <w:rFonts w:cs="Arial"/>
          <w:noProof/>
          <w:szCs w:val="24"/>
          <w:lang w:val="en-US"/>
        </w:rPr>
        <w:tab/>
        <w:t xml:space="preserve">Nielsen G, Ricciardi L, Demartini B, Hunter R, Joyce E, Edwards MJ. Outcomes of a 5-day physiotherapy programme for functional (psychogenic) motor disorders. </w:t>
      </w:r>
      <w:r w:rsidRPr="009A0516">
        <w:rPr>
          <w:rFonts w:cs="Arial"/>
          <w:i/>
          <w:iCs/>
          <w:noProof/>
          <w:szCs w:val="24"/>
          <w:lang w:val="en-US"/>
        </w:rPr>
        <w:t>J Neurol</w:t>
      </w:r>
      <w:r w:rsidRPr="009A0516">
        <w:rPr>
          <w:rFonts w:cs="Arial"/>
          <w:noProof/>
          <w:szCs w:val="24"/>
          <w:lang w:val="en-US"/>
        </w:rPr>
        <w:t xml:space="preserve"> 2015; </w:t>
      </w:r>
      <w:r w:rsidRPr="009A0516">
        <w:rPr>
          <w:rFonts w:cs="Arial"/>
          <w:b/>
          <w:bCs/>
          <w:noProof/>
          <w:szCs w:val="24"/>
          <w:lang w:val="en-US"/>
        </w:rPr>
        <w:t>262</w:t>
      </w:r>
      <w:r w:rsidRPr="009A0516">
        <w:rPr>
          <w:rFonts w:cs="Arial"/>
          <w:noProof/>
          <w:szCs w:val="24"/>
          <w:lang w:val="en-US"/>
        </w:rPr>
        <w:t>: 674–81.</w:t>
      </w:r>
    </w:p>
    <w:p w14:paraId="515C98B9" w14:textId="77777777" w:rsidR="009A0516" w:rsidRPr="009A0516" w:rsidRDefault="009A0516" w:rsidP="009A0516">
      <w:pPr>
        <w:widowControl w:val="0"/>
        <w:autoSpaceDE w:val="0"/>
        <w:autoSpaceDN w:val="0"/>
        <w:adjustRightInd w:val="0"/>
        <w:spacing w:after="0" w:line="480" w:lineRule="auto"/>
        <w:ind w:left="640" w:hanging="640"/>
        <w:rPr>
          <w:rFonts w:cs="Arial"/>
          <w:noProof/>
          <w:szCs w:val="24"/>
          <w:lang w:val="en-US"/>
        </w:rPr>
      </w:pPr>
      <w:r w:rsidRPr="009A0516">
        <w:rPr>
          <w:rFonts w:cs="Arial"/>
          <w:noProof/>
          <w:szCs w:val="24"/>
          <w:lang w:val="en-US"/>
        </w:rPr>
        <w:t>3</w:t>
      </w:r>
      <w:r w:rsidRPr="009A0516">
        <w:rPr>
          <w:rFonts w:cs="Arial"/>
          <w:noProof/>
          <w:szCs w:val="24"/>
          <w:lang w:val="en-US"/>
        </w:rPr>
        <w:tab/>
        <w:t xml:space="preserve">Jordbru AA, Smedstad LM, Klungsøyr O, Martinsen EW. Psychogenic gait disorder: A randomized controlled trial of physical rehabilitation with one-year follow-up. </w:t>
      </w:r>
      <w:r w:rsidRPr="009A0516">
        <w:rPr>
          <w:rFonts w:cs="Arial"/>
          <w:i/>
          <w:iCs/>
          <w:noProof/>
          <w:szCs w:val="24"/>
          <w:lang w:val="en-US"/>
        </w:rPr>
        <w:t>J Rehabil Med</w:t>
      </w:r>
      <w:r w:rsidRPr="009A0516">
        <w:rPr>
          <w:rFonts w:cs="Arial"/>
          <w:noProof/>
          <w:szCs w:val="24"/>
          <w:lang w:val="en-US"/>
        </w:rPr>
        <w:t xml:space="preserve"> 2014; </w:t>
      </w:r>
      <w:r w:rsidRPr="009A0516">
        <w:rPr>
          <w:rFonts w:cs="Arial"/>
          <w:b/>
          <w:bCs/>
          <w:noProof/>
          <w:szCs w:val="24"/>
          <w:lang w:val="en-US"/>
        </w:rPr>
        <w:t>46</w:t>
      </w:r>
      <w:r w:rsidRPr="009A0516">
        <w:rPr>
          <w:rFonts w:cs="Arial"/>
          <w:noProof/>
          <w:szCs w:val="24"/>
          <w:lang w:val="en-US"/>
        </w:rPr>
        <w:t>: 181–7.</w:t>
      </w:r>
    </w:p>
    <w:p w14:paraId="685BC0A1" w14:textId="77777777" w:rsidR="009A0516" w:rsidRPr="009A0516" w:rsidRDefault="009A0516" w:rsidP="009A0516">
      <w:pPr>
        <w:widowControl w:val="0"/>
        <w:autoSpaceDE w:val="0"/>
        <w:autoSpaceDN w:val="0"/>
        <w:adjustRightInd w:val="0"/>
        <w:spacing w:after="0" w:line="480" w:lineRule="auto"/>
        <w:ind w:left="640" w:hanging="640"/>
        <w:rPr>
          <w:rFonts w:cs="Arial"/>
          <w:noProof/>
          <w:szCs w:val="24"/>
          <w:lang w:val="en-US"/>
        </w:rPr>
      </w:pPr>
      <w:r w:rsidRPr="009A0516">
        <w:rPr>
          <w:rFonts w:cs="Arial"/>
          <w:noProof/>
          <w:szCs w:val="24"/>
          <w:lang w:val="en-US"/>
        </w:rPr>
        <w:t>4</w:t>
      </w:r>
      <w:r w:rsidRPr="009A0516">
        <w:rPr>
          <w:rFonts w:cs="Arial"/>
          <w:noProof/>
          <w:szCs w:val="24"/>
          <w:lang w:val="en-US"/>
        </w:rPr>
        <w:tab/>
        <w:t xml:space="preserve">Czarnecki K, Hallett M. Functional (psychogenic) movement disorders. </w:t>
      </w:r>
      <w:r w:rsidRPr="009A0516">
        <w:rPr>
          <w:rFonts w:cs="Arial"/>
          <w:i/>
          <w:iCs/>
          <w:noProof/>
          <w:szCs w:val="24"/>
          <w:lang w:val="en-US"/>
        </w:rPr>
        <w:t>Curr Opin Neurol</w:t>
      </w:r>
      <w:r w:rsidRPr="009A0516">
        <w:rPr>
          <w:rFonts w:cs="Arial"/>
          <w:noProof/>
          <w:szCs w:val="24"/>
          <w:lang w:val="en-US"/>
        </w:rPr>
        <w:t xml:space="preserve"> 2012; </w:t>
      </w:r>
      <w:r w:rsidRPr="009A0516">
        <w:rPr>
          <w:rFonts w:cs="Arial"/>
          <w:b/>
          <w:bCs/>
          <w:noProof/>
          <w:szCs w:val="24"/>
          <w:lang w:val="en-US"/>
        </w:rPr>
        <w:t>25</w:t>
      </w:r>
      <w:r w:rsidRPr="009A0516">
        <w:rPr>
          <w:rFonts w:cs="Arial"/>
          <w:noProof/>
          <w:szCs w:val="24"/>
          <w:lang w:val="en-US"/>
        </w:rPr>
        <w:t>: 507–12.</w:t>
      </w:r>
    </w:p>
    <w:p w14:paraId="22F9CF02" w14:textId="77777777" w:rsidR="009A0516" w:rsidRPr="009A0516" w:rsidRDefault="009A0516" w:rsidP="009A0516">
      <w:pPr>
        <w:widowControl w:val="0"/>
        <w:autoSpaceDE w:val="0"/>
        <w:autoSpaceDN w:val="0"/>
        <w:adjustRightInd w:val="0"/>
        <w:spacing w:after="0" w:line="480" w:lineRule="auto"/>
        <w:ind w:left="640" w:hanging="640"/>
        <w:rPr>
          <w:rFonts w:cs="Arial"/>
          <w:noProof/>
          <w:szCs w:val="24"/>
          <w:lang w:val="en-US"/>
        </w:rPr>
      </w:pPr>
      <w:r w:rsidRPr="009A0516">
        <w:rPr>
          <w:rFonts w:cs="Arial"/>
          <w:noProof/>
          <w:szCs w:val="24"/>
          <w:lang w:val="en-US"/>
        </w:rPr>
        <w:t>5</w:t>
      </w:r>
      <w:r w:rsidRPr="009A0516">
        <w:rPr>
          <w:rFonts w:cs="Arial"/>
          <w:noProof/>
          <w:szCs w:val="24"/>
          <w:lang w:val="en-US"/>
        </w:rPr>
        <w:tab/>
        <w:t xml:space="preserve">Espay AJ, Edwards MJ, Oggioni GD, </w:t>
      </w:r>
      <w:r w:rsidRPr="009A0516">
        <w:rPr>
          <w:rFonts w:cs="Arial"/>
          <w:i/>
          <w:iCs/>
          <w:noProof/>
          <w:szCs w:val="24"/>
          <w:lang w:val="en-US"/>
        </w:rPr>
        <w:t>et al.</w:t>
      </w:r>
      <w:r w:rsidRPr="009A0516">
        <w:rPr>
          <w:rFonts w:cs="Arial"/>
          <w:noProof/>
          <w:szCs w:val="24"/>
          <w:lang w:val="en-US"/>
        </w:rPr>
        <w:t xml:space="preserve"> Tremor retrainment as therapeutic strategy in psychogenic (functional) tremor. </w:t>
      </w:r>
      <w:r w:rsidRPr="009A0516">
        <w:rPr>
          <w:rFonts w:cs="Arial"/>
          <w:i/>
          <w:iCs/>
          <w:noProof/>
          <w:szCs w:val="24"/>
          <w:lang w:val="en-US"/>
        </w:rPr>
        <w:t>Park Relat Disord</w:t>
      </w:r>
      <w:r w:rsidRPr="009A0516">
        <w:rPr>
          <w:rFonts w:cs="Arial"/>
          <w:noProof/>
          <w:szCs w:val="24"/>
          <w:lang w:val="en-US"/>
        </w:rPr>
        <w:t xml:space="preserve"> 2014; </w:t>
      </w:r>
      <w:r w:rsidRPr="009A0516">
        <w:rPr>
          <w:rFonts w:cs="Arial"/>
          <w:b/>
          <w:bCs/>
          <w:noProof/>
          <w:szCs w:val="24"/>
          <w:lang w:val="en-US"/>
        </w:rPr>
        <w:t>20</w:t>
      </w:r>
      <w:r w:rsidRPr="009A0516">
        <w:rPr>
          <w:rFonts w:cs="Arial"/>
          <w:noProof/>
          <w:szCs w:val="24"/>
          <w:lang w:val="en-US"/>
        </w:rPr>
        <w:t>: 647–50.</w:t>
      </w:r>
    </w:p>
    <w:p w14:paraId="6487567E" w14:textId="77777777" w:rsidR="009A0516" w:rsidRPr="009A0516" w:rsidRDefault="009A0516" w:rsidP="009A0516">
      <w:pPr>
        <w:widowControl w:val="0"/>
        <w:autoSpaceDE w:val="0"/>
        <w:autoSpaceDN w:val="0"/>
        <w:adjustRightInd w:val="0"/>
        <w:spacing w:after="0" w:line="480" w:lineRule="auto"/>
        <w:ind w:left="640" w:hanging="640"/>
        <w:rPr>
          <w:rFonts w:cs="Arial"/>
          <w:noProof/>
          <w:szCs w:val="24"/>
          <w:lang w:val="en-US"/>
        </w:rPr>
      </w:pPr>
      <w:r w:rsidRPr="009A0516">
        <w:rPr>
          <w:rFonts w:cs="Arial"/>
          <w:noProof/>
          <w:szCs w:val="24"/>
          <w:lang w:val="en-US"/>
        </w:rPr>
        <w:t>6</w:t>
      </w:r>
      <w:r w:rsidRPr="009A0516">
        <w:rPr>
          <w:rFonts w:cs="Arial"/>
          <w:noProof/>
          <w:szCs w:val="24"/>
          <w:lang w:val="en-US"/>
        </w:rPr>
        <w:tab/>
        <w:t xml:space="preserve">Sharpe M, Walker J, Williams C, </w:t>
      </w:r>
      <w:r w:rsidRPr="009A0516">
        <w:rPr>
          <w:rFonts w:cs="Arial"/>
          <w:i/>
          <w:iCs/>
          <w:noProof/>
          <w:szCs w:val="24"/>
          <w:lang w:val="en-US"/>
        </w:rPr>
        <w:t>et al.</w:t>
      </w:r>
      <w:r w:rsidRPr="009A0516">
        <w:rPr>
          <w:rFonts w:cs="Arial"/>
          <w:noProof/>
          <w:szCs w:val="24"/>
          <w:lang w:val="en-US"/>
        </w:rPr>
        <w:t xml:space="preserve"> Guided self-help for functional (psychogenic) symptoms: a randomized controlled efficacy trial. </w:t>
      </w:r>
      <w:r w:rsidRPr="009A0516">
        <w:rPr>
          <w:rFonts w:cs="Arial"/>
          <w:i/>
          <w:iCs/>
          <w:noProof/>
          <w:szCs w:val="24"/>
          <w:lang w:val="en-US"/>
        </w:rPr>
        <w:t>Neurology</w:t>
      </w:r>
      <w:r w:rsidRPr="009A0516">
        <w:rPr>
          <w:rFonts w:cs="Arial"/>
          <w:noProof/>
          <w:szCs w:val="24"/>
          <w:lang w:val="en-US"/>
        </w:rPr>
        <w:t xml:space="preserve"> 2011; </w:t>
      </w:r>
      <w:r w:rsidRPr="009A0516">
        <w:rPr>
          <w:rFonts w:cs="Arial"/>
          <w:b/>
          <w:bCs/>
          <w:noProof/>
          <w:szCs w:val="24"/>
          <w:lang w:val="en-US"/>
        </w:rPr>
        <w:t>77</w:t>
      </w:r>
      <w:r w:rsidRPr="009A0516">
        <w:rPr>
          <w:rFonts w:cs="Arial"/>
          <w:noProof/>
          <w:szCs w:val="24"/>
          <w:lang w:val="en-US"/>
        </w:rPr>
        <w:t>: 564–72.</w:t>
      </w:r>
    </w:p>
    <w:p w14:paraId="370E06A7" w14:textId="77777777" w:rsidR="009A0516" w:rsidRPr="009A0516" w:rsidRDefault="009A0516" w:rsidP="009A0516">
      <w:pPr>
        <w:widowControl w:val="0"/>
        <w:autoSpaceDE w:val="0"/>
        <w:autoSpaceDN w:val="0"/>
        <w:adjustRightInd w:val="0"/>
        <w:spacing w:after="0" w:line="480" w:lineRule="auto"/>
        <w:ind w:left="640" w:hanging="640"/>
        <w:rPr>
          <w:rFonts w:cs="Arial"/>
          <w:noProof/>
          <w:szCs w:val="24"/>
          <w:lang w:val="en-US"/>
        </w:rPr>
      </w:pPr>
      <w:r w:rsidRPr="009A0516">
        <w:rPr>
          <w:rFonts w:cs="Arial"/>
          <w:noProof/>
          <w:szCs w:val="24"/>
          <w:lang w:val="en-US"/>
        </w:rPr>
        <w:t>7</w:t>
      </w:r>
      <w:r w:rsidRPr="009A0516">
        <w:rPr>
          <w:rFonts w:cs="Arial"/>
          <w:noProof/>
          <w:szCs w:val="24"/>
          <w:lang w:val="en-US"/>
        </w:rPr>
        <w:tab/>
        <w:t xml:space="preserve">Demartini B, Batla A, Petrochilos P, Fisher L, Edwards MJ, Joyce E. Multidisciplinary treatment for functional neurological symptoms: a prospective study. </w:t>
      </w:r>
      <w:r w:rsidRPr="009A0516">
        <w:rPr>
          <w:rFonts w:cs="Arial"/>
          <w:i/>
          <w:iCs/>
          <w:noProof/>
          <w:szCs w:val="24"/>
          <w:lang w:val="en-US"/>
        </w:rPr>
        <w:t>J Neurol</w:t>
      </w:r>
      <w:r w:rsidRPr="009A0516">
        <w:rPr>
          <w:rFonts w:cs="Arial"/>
          <w:noProof/>
          <w:szCs w:val="24"/>
          <w:lang w:val="en-US"/>
        </w:rPr>
        <w:t xml:space="preserve"> 2014; </w:t>
      </w:r>
      <w:r w:rsidRPr="009A0516">
        <w:rPr>
          <w:rFonts w:cs="Arial"/>
          <w:b/>
          <w:bCs/>
          <w:noProof/>
          <w:szCs w:val="24"/>
          <w:lang w:val="en-US"/>
        </w:rPr>
        <w:t>261</w:t>
      </w:r>
      <w:r w:rsidRPr="009A0516">
        <w:rPr>
          <w:rFonts w:cs="Arial"/>
          <w:noProof/>
          <w:szCs w:val="24"/>
          <w:lang w:val="en-US"/>
        </w:rPr>
        <w:t>: 2370–7.</w:t>
      </w:r>
    </w:p>
    <w:p w14:paraId="3021F735" w14:textId="77777777" w:rsidR="009A0516" w:rsidRPr="009A0516" w:rsidRDefault="009A0516" w:rsidP="009A0516">
      <w:pPr>
        <w:widowControl w:val="0"/>
        <w:autoSpaceDE w:val="0"/>
        <w:autoSpaceDN w:val="0"/>
        <w:adjustRightInd w:val="0"/>
        <w:spacing w:after="0" w:line="480" w:lineRule="auto"/>
        <w:ind w:left="640" w:hanging="640"/>
        <w:rPr>
          <w:rFonts w:cs="Arial"/>
          <w:noProof/>
          <w:szCs w:val="24"/>
          <w:lang w:val="en-US"/>
        </w:rPr>
      </w:pPr>
      <w:r w:rsidRPr="009A0516">
        <w:rPr>
          <w:rFonts w:cs="Arial"/>
          <w:noProof/>
          <w:szCs w:val="24"/>
          <w:lang w:val="en-US"/>
        </w:rPr>
        <w:t>8</w:t>
      </w:r>
      <w:r w:rsidRPr="009A0516">
        <w:rPr>
          <w:rFonts w:cs="Arial"/>
          <w:noProof/>
          <w:szCs w:val="24"/>
          <w:lang w:val="en-US"/>
        </w:rPr>
        <w:tab/>
        <w:t xml:space="preserve">McCormack R, Moriarty J, Mellers JD, </w:t>
      </w:r>
      <w:r w:rsidRPr="009A0516">
        <w:rPr>
          <w:rFonts w:cs="Arial"/>
          <w:i/>
          <w:iCs/>
          <w:noProof/>
          <w:szCs w:val="24"/>
          <w:lang w:val="en-US"/>
        </w:rPr>
        <w:t>et al.</w:t>
      </w:r>
      <w:r w:rsidRPr="009A0516">
        <w:rPr>
          <w:rFonts w:cs="Arial"/>
          <w:noProof/>
          <w:szCs w:val="24"/>
          <w:lang w:val="en-US"/>
        </w:rPr>
        <w:t xml:space="preserve"> Specialist inpatient treatment for severe motor conversion disorder: a retrospective comparative study. </w:t>
      </w:r>
      <w:r w:rsidRPr="009A0516">
        <w:rPr>
          <w:rFonts w:cs="Arial"/>
          <w:i/>
          <w:iCs/>
          <w:noProof/>
          <w:szCs w:val="24"/>
          <w:lang w:val="en-US"/>
        </w:rPr>
        <w:t>J Neurol Neurosurg Psychiatry</w:t>
      </w:r>
      <w:r w:rsidRPr="009A0516">
        <w:rPr>
          <w:rFonts w:cs="Arial"/>
          <w:noProof/>
          <w:szCs w:val="24"/>
          <w:lang w:val="en-US"/>
        </w:rPr>
        <w:t xml:space="preserve"> 2013; </w:t>
      </w:r>
      <w:r w:rsidRPr="009A0516">
        <w:rPr>
          <w:rFonts w:cs="Arial"/>
          <w:b/>
          <w:bCs/>
          <w:noProof/>
          <w:szCs w:val="24"/>
          <w:lang w:val="en-US"/>
        </w:rPr>
        <w:t>85</w:t>
      </w:r>
      <w:r w:rsidRPr="009A0516">
        <w:rPr>
          <w:rFonts w:cs="Arial"/>
          <w:noProof/>
          <w:szCs w:val="24"/>
          <w:lang w:val="en-US"/>
        </w:rPr>
        <w:t>: 895–900.</w:t>
      </w:r>
    </w:p>
    <w:p w14:paraId="22156B1F" w14:textId="77777777" w:rsidR="009A0516" w:rsidRPr="009A0516" w:rsidRDefault="009A0516" w:rsidP="009A0516">
      <w:pPr>
        <w:widowControl w:val="0"/>
        <w:autoSpaceDE w:val="0"/>
        <w:autoSpaceDN w:val="0"/>
        <w:adjustRightInd w:val="0"/>
        <w:spacing w:after="0" w:line="480" w:lineRule="auto"/>
        <w:ind w:left="640" w:hanging="640"/>
        <w:rPr>
          <w:rFonts w:cs="Arial"/>
          <w:noProof/>
          <w:szCs w:val="24"/>
          <w:lang w:val="en-US"/>
        </w:rPr>
      </w:pPr>
      <w:r w:rsidRPr="009A0516">
        <w:rPr>
          <w:rFonts w:cs="Arial"/>
          <w:noProof/>
          <w:szCs w:val="24"/>
          <w:lang w:val="en-US"/>
        </w:rPr>
        <w:t>9</w:t>
      </w:r>
      <w:r w:rsidRPr="009A0516">
        <w:rPr>
          <w:rFonts w:cs="Arial"/>
          <w:noProof/>
          <w:szCs w:val="24"/>
          <w:lang w:val="en-US"/>
        </w:rPr>
        <w:tab/>
        <w:t xml:space="preserve">Hubschmid M, Aybek S, Maccaferri GE, </w:t>
      </w:r>
      <w:r w:rsidRPr="009A0516">
        <w:rPr>
          <w:rFonts w:cs="Arial"/>
          <w:i/>
          <w:iCs/>
          <w:noProof/>
          <w:szCs w:val="24"/>
          <w:lang w:val="en-US"/>
        </w:rPr>
        <w:t>et al.</w:t>
      </w:r>
      <w:r w:rsidRPr="009A0516">
        <w:rPr>
          <w:rFonts w:cs="Arial"/>
          <w:noProof/>
          <w:szCs w:val="24"/>
          <w:lang w:val="en-US"/>
        </w:rPr>
        <w:t xml:space="preserve"> Efficacy of brief interdisciplinary psychotherapeutic intervention for motor conversion disorder and nonepileptic attacks. </w:t>
      </w:r>
      <w:r w:rsidRPr="009A0516">
        <w:rPr>
          <w:rFonts w:cs="Arial"/>
          <w:i/>
          <w:iCs/>
          <w:noProof/>
          <w:szCs w:val="24"/>
          <w:lang w:val="en-US"/>
        </w:rPr>
        <w:t>Gen Hosp Psychiatry</w:t>
      </w:r>
      <w:r w:rsidRPr="009A0516">
        <w:rPr>
          <w:rFonts w:cs="Arial"/>
          <w:noProof/>
          <w:szCs w:val="24"/>
          <w:lang w:val="en-US"/>
        </w:rPr>
        <w:t xml:space="preserve"> 2015; </w:t>
      </w:r>
      <w:r w:rsidRPr="009A0516">
        <w:rPr>
          <w:rFonts w:cs="Arial"/>
          <w:b/>
          <w:bCs/>
          <w:noProof/>
          <w:szCs w:val="24"/>
          <w:lang w:val="en-US"/>
        </w:rPr>
        <w:t>37</w:t>
      </w:r>
      <w:r w:rsidRPr="009A0516">
        <w:rPr>
          <w:rFonts w:cs="Arial"/>
          <w:noProof/>
          <w:szCs w:val="24"/>
          <w:lang w:val="en-US"/>
        </w:rPr>
        <w:t>: 448–55.</w:t>
      </w:r>
    </w:p>
    <w:p w14:paraId="2ABB46F3" w14:textId="77777777" w:rsidR="009A0516" w:rsidRPr="009A0516" w:rsidRDefault="009A0516" w:rsidP="009A0516">
      <w:pPr>
        <w:widowControl w:val="0"/>
        <w:autoSpaceDE w:val="0"/>
        <w:autoSpaceDN w:val="0"/>
        <w:adjustRightInd w:val="0"/>
        <w:spacing w:after="0" w:line="480" w:lineRule="auto"/>
        <w:ind w:left="640" w:hanging="640"/>
        <w:rPr>
          <w:rFonts w:cs="Arial"/>
          <w:noProof/>
          <w:szCs w:val="24"/>
          <w:lang w:val="en-US"/>
        </w:rPr>
      </w:pPr>
      <w:r w:rsidRPr="009A0516">
        <w:rPr>
          <w:rFonts w:cs="Arial"/>
          <w:noProof/>
          <w:szCs w:val="24"/>
          <w:lang w:val="en-US"/>
        </w:rPr>
        <w:t>10</w:t>
      </w:r>
      <w:r w:rsidRPr="009A0516">
        <w:rPr>
          <w:rFonts w:cs="Arial"/>
          <w:noProof/>
          <w:szCs w:val="24"/>
          <w:lang w:val="en-US"/>
        </w:rPr>
        <w:tab/>
        <w:t xml:space="preserve">Kompoliti K, Wilson B, Stebbins G, Bernard B, Hinson V. Immediate vs. delayed treatment of psychogenic movement disorders with short term psychodynamic psychotherapy: randomized clinical trial. </w:t>
      </w:r>
      <w:r w:rsidRPr="009A0516">
        <w:rPr>
          <w:rFonts w:cs="Arial"/>
          <w:i/>
          <w:iCs/>
          <w:noProof/>
          <w:szCs w:val="24"/>
          <w:lang w:val="en-US"/>
        </w:rPr>
        <w:t>Park Relat Disord</w:t>
      </w:r>
      <w:r w:rsidRPr="009A0516">
        <w:rPr>
          <w:rFonts w:cs="Arial"/>
          <w:noProof/>
          <w:szCs w:val="24"/>
          <w:lang w:val="en-US"/>
        </w:rPr>
        <w:t xml:space="preserve"> 2014; </w:t>
      </w:r>
      <w:r w:rsidRPr="009A0516">
        <w:rPr>
          <w:rFonts w:cs="Arial"/>
          <w:b/>
          <w:bCs/>
          <w:noProof/>
          <w:szCs w:val="24"/>
          <w:lang w:val="en-US"/>
        </w:rPr>
        <w:t>20</w:t>
      </w:r>
      <w:r w:rsidRPr="009A0516">
        <w:rPr>
          <w:rFonts w:cs="Arial"/>
          <w:noProof/>
          <w:szCs w:val="24"/>
          <w:lang w:val="en-US"/>
        </w:rPr>
        <w:t>: 60–3.</w:t>
      </w:r>
    </w:p>
    <w:p w14:paraId="6D9DA514" w14:textId="77777777" w:rsidR="009A0516" w:rsidRPr="009A0516" w:rsidRDefault="009A0516" w:rsidP="009A0516">
      <w:pPr>
        <w:widowControl w:val="0"/>
        <w:autoSpaceDE w:val="0"/>
        <w:autoSpaceDN w:val="0"/>
        <w:adjustRightInd w:val="0"/>
        <w:spacing w:after="0" w:line="480" w:lineRule="auto"/>
        <w:ind w:left="640" w:hanging="640"/>
        <w:rPr>
          <w:rFonts w:cs="Arial"/>
          <w:noProof/>
          <w:szCs w:val="24"/>
          <w:lang w:val="en-US"/>
        </w:rPr>
      </w:pPr>
      <w:r w:rsidRPr="009A0516">
        <w:rPr>
          <w:rFonts w:cs="Arial"/>
          <w:noProof/>
          <w:szCs w:val="24"/>
          <w:lang w:val="en-US"/>
        </w:rPr>
        <w:lastRenderedPageBreak/>
        <w:t>11</w:t>
      </w:r>
      <w:r w:rsidRPr="009A0516">
        <w:rPr>
          <w:rFonts w:cs="Arial"/>
          <w:noProof/>
          <w:szCs w:val="24"/>
          <w:lang w:val="en-US"/>
        </w:rPr>
        <w:tab/>
        <w:t xml:space="preserve">Stone J, Hoeritzauer I, Brown K, Carson A. Therapeutic sedation for functional (psychogenic) neurological symptoms. </w:t>
      </w:r>
      <w:r w:rsidRPr="009A0516">
        <w:rPr>
          <w:rFonts w:cs="Arial"/>
          <w:i/>
          <w:iCs/>
          <w:noProof/>
          <w:szCs w:val="24"/>
          <w:lang w:val="en-US"/>
        </w:rPr>
        <w:t>J Psychosom Res</w:t>
      </w:r>
      <w:r w:rsidRPr="009A0516">
        <w:rPr>
          <w:rFonts w:cs="Arial"/>
          <w:noProof/>
          <w:szCs w:val="24"/>
          <w:lang w:val="en-US"/>
        </w:rPr>
        <w:t xml:space="preserve"> 2014; </w:t>
      </w:r>
      <w:r w:rsidRPr="009A0516">
        <w:rPr>
          <w:rFonts w:cs="Arial"/>
          <w:b/>
          <w:bCs/>
          <w:noProof/>
          <w:szCs w:val="24"/>
          <w:lang w:val="en-US"/>
        </w:rPr>
        <w:t>76</w:t>
      </w:r>
      <w:r w:rsidRPr="009A0516">
        <w:rPr>
          <w:rFonts w:cs="Arial"/>
          <w:noProof/>
          <w:szCs w:val="24"/>
          <w:lang w:val="en-US"/>
        </w:rPr>
        <w:t>: 165–8.</w:t>
      </w:r>
    </w:p>
    <w:p w14:paraId="53D2D112" w14:textId="77777777" w:rsidR="009A0516" w:rsidRPr="009A0516" w:rsidRDefault="009A0516" w:rsidP="009A0516">
      <w:pPr>
        <w:widowControl w:val="0"/>
        <w:autoSpaceDE w:val="0"/>
        <w:autoSpaceDN w:val="0"/>
        <w:adjustRightInd w:val="0"/>
        <w:spacing w:after="0" w:line="480" w:lineRule="auto"/>
        <w:ind w:left="640" w:hanging="640"/>
        <w:rPr>
          <w:rFonts w:cs="Arial"/>
          <w:noProof/>
          <w:szCs w:val="24"/>
          <w:lang w:val="en-US"/>
        </w:rPr>
      </w:pPr>
      <w:r w:rsidRPr="009A0516">
        <w:rPr>
          <w:rFonts w:cs="Arial"/>
          <w:noProof/>
          <w:szCs w:val="24"/>
          <w:lang w:val="en-US"/>
        </w:rPr>
        <w:t>12</w:t>
      </w:r>
      <w:r w:rsidRPr="009A0516">
        <w:rPr>
          <w:rFonts w:cs="Arial"/>
          <w:noProof/>
          <w:szCs w:val="24"/>
          <w:lang w:val="en-US"/>
        </w:rPr>
        <w:tab/>
        <w:t xml:space="preserve">Hinson VK, Cubo E, Comella CL, Goetz CG, Leurgans S. Rating scale for psychogenic movement disorders: scale development and clinimetric testing. </w:t>
      </w:r>
      <w:r w:rsidRPr="009A0516">
        <w:rPr>
          <w:rFonts w:cs="Arial"/>
          <w:i/>
          <w:iCs/>
          <w:noProof/>
          <w:szCs w:val="24"/>
          <w:lang w:val="en-US"/>
        </w:rPr>
        <w:t>Mov Disord</w:t>
      </w:r>
      <w:r w:rsidRPr="009A0516">
        <w:rPr>
          <w:rFonts w:cs="Arial"/>
          <w:noProof/>
          <w:szCs w:val="24"/>
          <w:lang w:val="en-US"/>
        </w:rPr>
        <w:t xml:space="preserve"> 2005; </w:t>
      </w:r>
      <w:r w:rsidRPr="009A0516">
        <w:rPr>
          <w:rFonts w:cs="Arial"/>
          <w:b/>
          <w:bCs/>
          <w:noProof/>
          <w:szCs w:val="24"/>
          <w:lang w:val="en-US"/>
        </w:rPr>
        <w:t>20</w:t>
      </w:r>
      <w:r w:rsidRPr="009A0516">
        <w:rPr>
          <w:rFonts w:cs="Arial"/>
          <w:noProof/>
          <w:szCs w:val="24"/>
          <w:lang w:val="en-US"/>
        </w:rPr>
        <w:t>: 1592–7.</w:t>
      </w:r>
    </w:p>
    <w:p w14:paraId="59AB9374" w14:textId="77777777" w:rsidR="009A0516" w:rsidRPr="009A0516" w:rsidRDefault="009A0516" w:rsidP="009A0516">
      <w:pPr>
        <w:widowControl w:val="0"/>
        <w:autoSpaceDE w:val="0"/>
        <w:autoSpaceDN w:val="0"/>
        <w:adjustRightInd w:val="0"/>
        <w:spacing w:after="0" w:line="480" w:lineRule="auto"/>
        <w:ind w:left="640" w:hanging="640"/>
        <w:rPr>
          <w:rFonts w:cs="Arial"/>
          <w:noProof/>
          <w:szCs w:val="24"/>
          <w:lang w:val="en-US"/>
        </w:rPr>
      </w:pPr>
      <w:r w:rsidRPr="009A0516">
        <w:rPr>
          <w:rFonts w:cs="Arial"/>
          <w:noProof/>
          <w:szCs w:val="24"/>
          <w:lang w:val="en-US"/>
        </w:rPr>
        <w:t>13</w:t>
      </w:r>
      <w:r w:rsidRPr="009A0516">
        <w:rPr>
          <w:rFonts w:cs="Arial"/>
          <w:noProof/>
          <w:szCs w:val="24"/>
          <w:lang w:val="en-US"/>
        </w:rPr>
        <w:tab/>
        <w:t xml:space="preserve">Merello M, Ballesteros D, Rossi M, </w:t>
      </w:r>
      <w:r w:rsidRPr="009A0516">
        <w:rPr>
          <w:rFonts w:cs="Arial"/>
          <w:i/>
          <w:iCs/>
          <w:noProof/>
          <w:szCs w:val="24"/>
          <w:lang w:val="en-US"/>
        </w:rPr>
        <w:t>et al.</w:t>
      </w:r>
      <w:r w:rsidRPr="009A0516">
        <w:rPr>
          <w:rFonts w:cs="Arial"/>
          <w:noProof/>
          <w:szCs w:val="24"/>
          <w:lang w:val="en-US"/>
        </w:rPr>
        <w:t xml:space="preserve"> Lack of maintenance of gait pattern as measured by instrumental methods suggests psychogenic gait. </w:t>
      </w:r>
      <w:r w:rsidRPr="009A0516">
        <w:rPr>
          <w:rFonts w:cs="Arial"/>
          <w:i/>
          <w:iCs/>
          <w:noProof/>
          <w:szCs w:val="24"/>
          <w:lang w:val="en-US"/>
        </w:rPr>
        <w:t>Funct Neurol</w:t>
      </w:r>
      <w:r w:rsidRPr="009A0516">
        <w:rPr>
          <w:rFonts w:cs="Arial"/>
          <w:noProof/>
          <w:szCs w:val="24"/>
          <w:lang w:val="en-US"/>
        </w:rPr>
        <w:t xml:space="preserve"> 2012; </w:t>
      </w:r>
      <w:r w:rsidRPr="009A0516">
        <w:rPr>
          <w:rFonts w:cs="Arial"/>
          <w:b/>
          <w:bCs/>
          <w:noProof/>
          <w:szCs w:val="24"/>
          <w:lang w:val="en-US"/>
        </w:rPr>
        <w:t>27</w:t>
      </w:r>
      <w:r w:rsidRPr="009A0516">
        <w:rPr>
          <w:rFonts w:cs="Arial"/>
          <w:noProof/>
          <w:szCs w:val="24"/>
          <w:lang w:val="en-US"/>
        </w:rPr>
        <w:t>: 217–24.</w:t>
      </w:r>
    </w:p>
    <w:p w14:paraId="2644A2E8" w14:textId="77777777" w:rsidR="009A0516" w:rsidRPr="009A0516" w:rsidRDefault="009A0516" w:rsidP="009A0516">
      <w:pPr>
        <w:widowControl w:val="0"/>
        <w:autoSpaceDE w:val="0"/>
        <w:autoSpaceDN w:val="0"/>
        <w:adjustRightInd w:val="0"/>
        <w:spacing w:after="0" w:line="480" w:lineRule="auto"/>
        <w:ind w:left="640" w:hanging="640"/>
        <w:rPr>
          <w:rFonts w:cs="Arial"/>
          <w:noProof/>
          <w:szCs w:val="24"/>
          <w:lang w:val="en-US"/>
        </w:rPr>
      </w:pPr>
      <w:r w:rsidRPr="009A0516">
        <w:rPr>
          <w:rFonts w:cs="Arial"/>
          <w:noProof/>
          <w:szCs w:val="24"/>
          <w:lang w:val="en-US"/>
        </w:rPr>
        <w:t>14</w:t>
      </w:r>
      <w:r w:rsidRPr="009A0516">
        <w:rPr>
          <w:rFonts w:cs="Arial"/>
          <w:noProof/>
          <w:szCs w:val="24"/>
          <w:lang w:val="en-US"/>
        </w:rPr>
        <w:tab/>
        <w:t xml:space="preserve">Edwards MJ, Stone J, Lang AE. From psychogenic movement disorder to functional movement disorder: It’s time to change the name. </w:t>
      </w:r>
      <w:r w:rsidRPr="009A0516">
        <w:rPr>
          <w:rFonts w:cs="Arial"/>
          <w:i/>
          <w:iCs/>
          <w:noProof/>
          <w:szCs w:val="24"/>
          <w:lang w:val="en-US"/>
        </w:rPr>
        <w:t>Mov Disord</w:t>
      </w:r>
      <w:r w:rsidRPr="009A0516">
        <w:rPr>
          <w:rFonts w:cs="Arial"/>
          <w:noProof/>
          <w:szCs w:val="24"/>
          <w:lang w:val="en-US"/>
        </w:rPr>
        <w:t xml:space="preserve"> 2014; </w:t>
      </w:r>
      <w:r w:rsidRPr="009A0516">
        <w:rPr>
          <w:rFonts w:cs="Arial"/>
          <w:b/>
          <w:bCs/>
          <w:noProof/>
          <w:szCs w:val="24"/>
          <w:lang w:val="en-US"/>
        </w:rPr>
        <w:t>29</w:t>
      </w:r>
      <w:r w:rsidRPr="009A0516">
        <w:rPr>
          <w:rFonts w:cs="Arial"/>
          <w:noProof/>
          <w:szCs w:val="24"/>
          <w:lang w:val="en-US"/>
        </w:rPr>
        <w:t>: 849–52.</w:t>
      </w:r>
    </w:p>
    <w:p w14:paraId="322A68FC" w14:textId="75784642" w:rsidR="009A0516" w:rsidRPr="009A0516" w:rsidRDefault="009A0516" w:rsidP="009A0516">
      <w:pPr>
        <w:widowControl w:val="0"/>
        <w:autoSpaceDE w:val="0"/>
        <w:autoSpaceDN w:val="0"/>
        <w:adjustRightInd w:val="0"/>
        <w:spacing w:after="0" w:line="480" w:lineRule="auto"/>
        <w:ind w:left="640" w:hanging="640"/>
        <w:rPr>
          <w:rFonts w:cs="Arial"/>
          <w:noProof/>
          <w:szCs w:val="24"/>
          <w:lang w:val="en-US"/>
        </w:rPr>
      </w:pPr>
      <w:r w:rsidRPr="009A0516">
        <w:rPr>
          <w:rFonts w:cs="Arial"/>
          <w:noProof/>
          <w:szCs w:val="24"/>
          <w:lang w:val="en-US"/>
        </w:rPr>
        <w:t>15</w:t>
      </w:r>
      <w:r w:rsidRPr="009A0516">
        <w:rPr>
          <w:rFonts w:cs="Arial"/>
          <w:noProof/>
          <w:szCs w:val="24"/>
          <w:lang w:val="en-US"/>
        </w:rPr>
        <w:tab/>
        <w:t xml:space="preserve">Nielsen G, Buszewicz M, Stevenson F, </w:t>
      </w:r>
      <w:r w:rsidRPr="009A0516">
        <w:rPr>
          <w:rFonts w:cs="Arial"/>
          <w:i/>
          <w:iCs/>
          <w:noProof/>
          <w:szCs w:val="24"/>
          <w:lang w:val="en-US"/>
        </w:rPr>
        <w:t>et al.</w:t>
      </w:r>
      <w:r w:rsidR="00D958FA">
        <w:rPr>
          <w:rFonts w:cs="Arial"/>
          <w:noProof/>
          <w:szCs w:val="24"/>
          <w:lang w:val="en-US"/>
        </w:rPr>
        <w:t xml:space="preserve"> Randomised feasibility study of physiotherapy for p</w:t>
      </w:r>
      <w:r w:rsidRPr="009A0516">
        <w:rPr>
          <w:rFonts w:cs="Arial"/>
          <w:noProof/>
          <w:szCs w:val="24"/>
          <w:lang w:val="en-US"/>
        </w:rPr>
        <w:t>atients wit</w:t>
      </w:r>
      <w:r w:rsidR="00D958FA">
        <w:rPr>
          <w:rFonts w:cs="Arial"/>
          <w:noProof/>
          <w:szCs w:val="24"/>
          <w:lang w:val="en-US"/>
        </w:rPr>
        <w:t>h functional motor s</w:t>
      </w:r>
      <w:r w:rsidRPr="009A0516">
        <w:rPr>
          <w:rFonts w:cs="Arial"/>
          <w:noProof/>
          <w:szCs w:val="24"/>
          <w:lang w:val="en-US"/>
        </w:rPr>
        <w:t xml:space="preserve">ymptoms. </w:t>
      </w:r>
      <w:r w:rsidRPr="009A0516">
        <w:rPr>
          <w:rFonts w:cs="Arial"/>
          <w:i/>
          <w:iCs/>
          <w:noProof/>
          <w:szCs w:val="24"/>
          <w:lang w:val="en-US"/>
        </w:rPr>
        <w:t>J Neurol Neurosurg Psychiatry</w:t>
      </w:r>
      <w:r w:rsidRPr="009A0516">
        <w:rPr>
          <w:rFonts w:cs="Arial"/>
          <w:noProof/>
          <w:szCs w:val="24"/>
          <w:lang w:val="en-US"/>
        </w:rPr>
        <w:t xml:space="preserve"> 2016; </w:t>
      </w:r>
      <w:r w:rsidRPr="009A0516">
        <w:rPr>
          <w:rFonts w:cs="Arial"/>
          <w:b/>
          <w:bCs/>
          <w:noProof/>
          <w:szCs w:val="24"/>
          <w:lang w:val="en-US"/>
        </w:rPr>
        <w:t>online fir</w:t>
      </w:r>
      <w:r w:rsidR="00D958FA">
        <w:rPr>
          <w:rFonts w:cs="Arial"/>
          <w:b/>
          <w:bCs/>
          <w:noProof/>
          <w:szCs w:val="24"/>
          <w:lang w:val="en-US"/>
        </w:rPr>
        <w:t>st</w:t>
      </w:r>
      <w:r w:rsidRPr="009A0516">
        <w:rPr>
          <w:rFonts w:cs="Arial"/>
          <w:noProof/>
          <w:szCs w:val="24"/>
          <w:lang w:val="en-US"/>
        </w:rPr>
        <w:t>: jnnp-2016-314408.</w:t>
      </w:r>
    </w:p>
    <w:p w14:paraId="200A690F" w14:textId="77777777" w:rsidR="009A0516" w:rsidRPr="009A0516" w:rsidRDefault="009A0516" w:rsidP="009A0516">
      <w:pPr>
        <w:widowControl w:val="0"/>
        <w:autoSpaceDE w:val="0"/>
        <w:autoSpaceDN w:val="0"/>
        <w:adjustRightInd w:val="0"/>
        <w:spacing w:after="0" w:line="480" w:lineRule="auto"/>
        <w:ind w:left="640" w:hanging="640"/>
        <w:rPr>
          <w:rFonts w:cs="Arial"/>
          <w:noProof/>
          <w:szCs w:val="24"/>
          <w:lang w:val="en-US"/>
        </w:rPr>
      </w:pPr>
      <w:r w:rsidRPr="009A0516">
        <w:rPr>
          <w:rFonts w:cs="Arial"/>
          <w:noProof/>
          <w:szCs w:val="24"/>
          <w:lang w:val="en-US"/>
        </w:rPr>
        <w:t>16</w:t>
      </w:r>
      <w:r w:rsidRPr="009A0516">
        <w:rPr>
          <w:rFonts w:cs="Arial"/>
          <w:noProof/>
          <w:szCs w:val="24"/>
          <w:lang w:val="en-US"/>
        </w:rPr>
        <w:tab/>
        <w:t xml:space="preserve">Fahn S, Williams DT. Psychogenic dystonia. </w:t>
      </w:r>
      <w:r w:rsidRPr="009A0516">
        <w:rPr>
          <w:rFonts w:cs="Arial"/>
          <w:i/>
          <w:iCs/>
          <w:noProof/>
          <w:szCs w:val="24"/>
          <w:lang w:val="en-US"/>
        </w:rPr>
        <w:t>Adv Neurol</w:t>
      </w:r>
      <w:r w:rsidRPr="009A0516">
        <w:rPr>
          <w:rFonts w:cs="Arial"/>
          <w:noProof/>
          <w:szCs w:val="24"/>
          <w:lang w:val="en-US"/>
        </w:rPr>
        <w:t xml:space="preserve"> 1988; </w:t>
      </w:r>
      <w:r w:rsidRPr="009A0516">
        <w:rPr>
          <w:rFonts w:cs="Arial"/>
          <w:b/>
          <w:bCs/>
          <w:noProof/>
          <w:szCs w:val="24"/>
          <w:lang w:val="en-US"/>
        </w:rPr>
        <w:t>50</w:t>
      </w:r>
      <w:r w:rsidRPr="009A0516">
        <w:rPr>
          <w:rFonts w:cs="Arial"/>
          <w:noProof/>
          <w:szCs w:val="24"/>
          <w:lang w:val="en-US"/>
        </w:rPr>
        <w:t>: 431–55.</w:t>
      </w:r>
    </w:p>
    <w:p w14:paraId="4A6D324D" w14:textId="77777777" w:rsidR="009A0516" w:rsidRPr="009A0516" w:rsidRDefault="009A0516" w:rsidP="009A0516">
      <w:pPr>
        <w:widowControl w:val="0"/>
        <w:autoSpaceDE w:val="0"/>
        <w:autoSpaceDN w:val="0"/>
        <w:adjustRightInd w:val="0"/>
        <w:spacing w:after="0" w:line="480" w:lineRule="auto"/>
        <w:ind w:left="640" w:hanging="640"/>
        <w:rPr>
          <w:rFonts w:cs="Arial"/>
          <w:noProof/>
          <w:szCs w:val="24"/>
          <w:lang w:val="en-US"/>
        </w:rPr>
      </w:pPr>
      <w:r w:rsidRPr="009A0516">
        <w:rPr>
          <w:rFonts w:cs="Arial"/>
          <w:noProof/>
          <w:szCs w:val="24"/>
          <w:lang w:val="en-US"/>
        </w:rPr>
        <w:t>17</w:t>
      </w:r>
      <w:r w:rsidRPr="009A0516">
        <w:rPr>
          <w:rFonts w:cs="Arial"/>
          <w:noProof/>
          <w:szCs w:val="24"/>
          <w:lang w:val="en-US"/>
        </w:rPr>
        <w:tab/>
        <w:t xml:space="preserve">McHorney CA, Ware JE, Raczek AE. The MOS 36-Item Short-Form Health Survey (SF-36): II. Psychometric and clinical tests of validity in measuring physical and mental health constructs. </w:t>
      </w:r>
      <w:r w:rsidRPr="009A0516">
        <w:rPr>
          <w:rFonts w:cs="Arial"/>
          <w:i/>
          <w:iCs/>
          <w:noProof/>
          <w:szCs w:val="24"/>
          <w:lang w:val="en-US"/>
        </w:rPr>
        <w:t>Med Care</w:t>
      </w:r>
      <w:r w:rsidRPr="009A0516">
        <w:rPr>
          <w:rFonts w:cs="Arial"/>
          <w:noProof/>
          <w:szCs w:val="24"/>
          <w:lang w:val="en-US"/>
        </w:rPr>
        <w:t xml:space="preserve"> 1993; </w:t>
      </w:r>
      <w:r w:rsidRPr="009A0516">
        <w:rPr>
          <w:rFonts w:cs="Arial"/>
          <w:b/>
          <w:bCs/>
          <w:noProof/>
          <w:szCs w:val="24"/>
          <w:lang w:val="en-US"/>
        </w:rPr>
        <w:t>31</w:t>
      </w:r>
      <w:r w:rsidRPr="009A0516">
        <w:rPr>
          <w:rFonts w:cs="Arial"/>
          <w:noProof/>
          <w:szCs w:val="24"/>
          <w:lang w:val="en-US"/>
        </w:rPr>
        <w:t>: 247–63.</w:t>
      </w:r>
    </w:p>
    <w:p w14:paraId="5A2F833F" w14:textId="77777777" w:rsidR="009A0516" w:rsidRPr="009A0516" w:rsidRDefault="009A0516" w:rsidP="009A0516">
      <w:pPr>
        <w:widowControl w:val="0"/>
        <w:autoSpaceDE w:val="0"/>
        <w:autoSpaceDN w:val="0"/>
        <w:adjustRightInd w:val="0"/>
        <w:spacing w:after="0" w:line="480" w:lineRule="auto"/>
        <w:ind w:left="640" w:hanging="640"/>
        <w:rPr>
          <w:rFonts w:cs="Arial"/>
          <w:noProof/>
          <w:szCs w:val="24"/>
          <w:lang w:val="en-US"/>
        </w:rPr>
      </w:pPr>
      <w:r w:rsidRPr="009A0516">
        <w:rPr>
          <w:rFonts w:cs="Arial"/>
          <w:noProof/>
          <w:szCs w:val="24"/>
          <w:lang w:val="en-US"/>
        </w:rPr>
        <w:t>18</w:t>
      </w:r>
      <w:r w:rsidRPr="009A0516">
        <w:rPr>
          <w:rFonts w:cs="Arial"/>
          <w:noProof/>
          <w:szCs w:val="24"/>
          <w:lang w:val="en-US"/>
        </w:rPr>
        <w:tab/>
        <w:t xml:space="preserve">Bonett DG. Sample size requirements for estimating intraclass correlations with desired precision. </w:t>
      </w:r>
      <w:r w:rsidRPr="009A0516">
        <w:rPr>
          <w:rFonts w:cs="Arial"/>
          <w:i/>
          <w:iCs/>
          <w:noProof/>
          <w:szCs w:val="24"/>
          <w:lang w:val="en-US"/>
        </w:rPr>
        <w:t>Stat Med</w:t>
      </w:r>
      <w:r w:rsidRPr="009A0516">
        <w:rPr>
          <w:rFonts w:cs="Arial"/>
          <w:noProof/>
          <w:szCs w:val="24"/>
          <w:lang w:val="en-US"/>
        </w:rPr>
        <w:t xml:space="preserve"> 2002; </w:t>
      </w:r>
      <w:r w:rsidRPr="009A0516">
        <w:rPr>
          <w:rFonts w:cs="Arial"/>
          <w:b/>
          <w:bCs/>
          <w:noProof/>
          <w:szCs w:val="24"/>
          <w:lang w:val="en-US"/>
        </w:rPr>
        <w:t>21</w:t>
      </w:r>
      <w:r w:rsidRPr="009A0516">
        <w:rPr>
          <w:rFonts w:cs="Arial"/>
          <w:noProof/>
          <w:szCs w:val="24"/>
          <w:lang w:val="en-US"/>
        </w:rPr>
        <w:t>: 1331–5.</w:t>
      </w:r>
    </w:p>
    <w:p w14:paraId="6BCAE878" w14:textId="3B7161A5" w:rsidR="009A0516" w:rsidRPr="009A0516" w:rsidRDefault="00D958FA" w:rsidP="009A0516">
      <w:pPr>
        <w:widowControl w:val="0"/>
        <w:autoSpaceDE w:val="0"/>
        <w:autoSpaceDN w:val="0"/>
        <w:adjustRightInd w:val="0"/>
        <w:spacing w:after="0" w:line="480" w:lineRule="auto"/>
        <w:ind w:left="640" w:hanging="640"/>
        <w:rPr>
          <w:rFonts w:cs="Arial"/>
          <w:noProof/>
          <w:szCs w:val="24"/>
          <w:lang w:val="en-US"/>
        </w:rPr>
      </w:pPr>
      <w:r>
        <w:rPr>
          <w:rFonts w:cs="Arial"/>
          <w:noProof/>
          <w:szCs w:val="24"/>
          <w:lang w:val="en-US"/>
        </w:rPr>
        <w:t>19</w:t>
      </w:r>
      <w:r>
        <w:rPr>
          <w:rFonts w:cs="Arial"/>
          <w:noProof/>
          <w:szCs w:val="24"/>
          <w:lang w:val="en-US"/>
        </w:rPr>
        <w:tab/>
        <w:t>Hallgren KA. Computing inter-rater reliability for observational data: an overview and t</w:t>
      </w:r>
      <w:r w:rsidR="009A0516" w:rsidRPr="009A0516">
        <w:rPr>
          <w:rFonts w:cs="Arial"/>
          <w:noProof/>
          <w:szCs w:val="24"/>
          <w:lang w:val="en-US"/>
        </w:rPr>
        <w:t xml:space="preserve">utorial. </w:t>
      </w:r>
      <w:r w:rsidR="009A0516" w:rsidRPr="009A0516">
        <w:rPr>
          <w:rFonts w:cs="Arial"/>
          <w:i/>
          <w:iCs/>
          <w:noProof/>
          <w:szCs w:val="24"/>
          <w:lang w:val="en-US"/>
        </w:rPr>
        <w:t>Tutor Quant Methods Psychol</w:t>
      </w:r>
      <w:r w:rsidR="009A0516" w:rsidRPr="009A0516">
        <w:rPr>
          <w:rFonts w:cs="Arial"/>
          <w:noProof/>
          <w:szCs w:val="24"/>
          <w:lang w:val="en-US"/>
        </w:rPr>
        <w:t xml:space="preserve"> 2012; </w:t>
      </w:r>
      <w:r w:rsidR="009A0516" w:rsidRPr="009A0516">
        <w:rPr>
          <w:rFonts w:cs="Arial"/>
          <w:b/>
          <w:bCs/>
          <w:noProof/>
          <w:szCs w:val="24"/>
          <w:lang w:val="en-US"/>
        </w:rPr>
        <w:t>8</w:t>
      </w:r>
      <w:r w:rsidR="009A0516" w:rsidRPr="009A0516">
        <w:rPr>
          <w:rFonts w:cs="Arial"/>
          <w:noProof/>
          <w:szCs w:val="24"/>
          <w:lang w:val="en-US"/>
        </w:rPr>
        <w:t>: 23–34.</w:t>
      </w:r>
    </w:p>
    <w:p w14:paraId="6245229A" w14:textId="77777777" w:rsidR="009A0516" w:rsidRPr="009A0516" w:rsidRDefault="009A0516" w:rsidP="009A0516">
      <w:pPr>
        <w:widowControl w:val="0"/>
        <w:autoSpaceDE w:val="0"/>
        <w:autoSpaceDN w:val="0"/>
        <w:adjustRightInd w:val="0"/>
        <w:spacing w:after="0" w:line="480" w:lineRule="auto"/>
        <w:ind w:left="640" w:hanging="640"/>
        <w:rPr>
          <w:rFonts w:cs="Arial"/>
          <w:noProof/>
          <w:szCs w:val="24"/>
          <w:lang w:val="en-US"/>
        </w:rPr>
      </w:pPr>
      <w:r w:rsidRPr="009A0516">
        <w:rPr>
          <w:rFonts w:cs="Arial"/>
          <w:noProof/>
          <w:szCs w:val="24"/>
          <w:lang w:val="en-US"/>
        </w:rPr>
        <w:t>20</w:t>
      </w:r>
      <w:r w:rsidRPr="009A0516">
        <w:rPr>
          <w:rFonts w:cs="Arial"/>
          <w:noProof/>
          <w:szCs w:val="24"/>
          <w:lang w:val="en-US"/>
        </w:rPr>
        <w:tab/>
        <w:t xml:space="preserve">Vickers AJ, Altman DG. Statistics notes: Analysing controlled trials with baseline and follow up measurements. </w:t>
      </w:r>
      <w:r w:rsidRPr="009A0516">
        <w:rPr>
          <w:rFonts w:cs="Arial"/>
          <w:i/>
          <w:iCs/>
          <w:noProof/>
          <w:szCs w:val="24"/>
          <w:lang w:val="en-US"/>
        </w:rPr>
        <w:t>BMJ</w:t>
      </w:r>
      <w:r w:rsidRPr="009A0516">
        <w:rPr>
          <w:rFonts w:cs="Arial"/>
          <w:noProof/>
          <w:szCs w:val="24"/>
          <w:lang w:val="en-US"/>
        </w:rPr>
        <w:t xml:space="preserve"> 2001; </w:t>
      </w:r>
      <w:r w:rsidRPr="009A0516">
        <w:rPr>
          <w:rFonts w:cs="Arial"/>
          <w:b/>
          <w:bCs/>
          <w:noProof/>
          <w:szCs w:val="24"/>
          <w:lang w:val="en-US"/>
        </w:rPr>
        <w:t>323</w:t>
      </w:r>
      <w:r w:rsidRPr="009A0516">
        <w:rPr>
          <w:rFonts w:cs="Arial"/>
          <w:noProof/>
          <w:szCs w:val="24"/>
          <w:lang w:val="en-US"/>
        </w:rPr>
        <w:t>: 1123–4.</w:t>
      </w:r>
    </w:p>
    <w:p w14:paraId="114D5413" w14:textId="77777777" w:rsidR="009A0516" w:rsidRPr="009A0516" w:rsidRDefault="009A0516" w:rsidP="009A0516">
      <w:pPr>
        <w:widowControl w:val="0"/>
        <w:autoSpaceDE w:val="0"/>
        <w:autoSpaceDN w:val="0"/>
        <w:adjustRightInd w:val="0"/>
        <w:spacing w:after="0" w:line="480" w:lineRule="auto"/>
        <w:ind w:left="640" w:hanging="640"/>
        <w:rPr>
          <w:rFonts w:cs="Arial"/>
          <w:noProof/>
          <w:szCs w:val="24"/>
          <w:lang w:val="en-US"/>
        </w:rPr>
      </w:pPr>
      <w:r w:rsidRPr="009A0516">
        <w:rPr>
          <w:rFonts w:cs="Arial"/>
          <w:noProof/>
          <w:szCs w:val="24"/>
          <w:lang w:val="en-US"/>
        </w:rPr>
        <w:t>21</w:t>
      </w:r>
      <w:r w:rsidRPr="009A0516">
        <w:rPr>
          <w:rFonts w:cs="Arial"/>
          <w:noProof/>
          <w:szCs w:val="24"/>
          <w:lang w:val="en-US"/>
        </w:rPr>
        <w:tab/>
        <w:t xml:space="preserve">Sedgwick P. Effect sizes. </w:t>
      </w:r>
      <w:r w:rsidRPr="009A0516">
        <w:rPr>
          <w:rFonts w:cs="Arial"/>
          <w:i/>
          <w:iCs/>
          <w:noProof/>
          <w:szCs w:val="24"/>
          <w:lang w:val="en-US"/>
        </w:rPr>
        <w:t>BMJ</w:t>
      </w:r>
      <w:r w:rsidRPr="009A0516">
        <w:rPr>
          <w:rFonts w:cs="Arial"/>
          <w:noProof/>
          <w:szCs w:val="24"/>
          <w:lang w:val="en-US"/>
        </w:rPr>
        <w:t xml:space="preserve"> 2012; </w:t>
      </w:r>
      <w:r w:rsidRPr="009A0516">
        <w:rPr>
          <w:rFonts w:cs="Arial"/>
          <w:b/>
          <w:bCs/>
          <w:noProof/>
          <w:szCs w:val="24"/>
          <w:lang w:val="en-US"/>
        </w:rPr>
        <w:t>345</w:t>
      </w:r>
      <w:r w:rsidRPr="009A0516">
        <w:rPr>
          <w:rFonts w:cs="Arial"/>
          <w:noProof/>
          <w:szCs w:val="24"/>
          <w:lang w:val="en-US"/>
        </w:rPr>
        <w:t>: e7370.</w:t>
      </w:r>
    </w:p>
    <w:p w14:paraId="5E9F267B" w14:textId="02EDCEAB" w:rsidR="009A0516" w:rsidRPr="009A0516" w:rsidRDefault="009A0516" w:rsidP="009A0516">
      <w:pPr>
        <w:widowControl w:val="0"/>
        <w:autoSpaceDE w:val="0"/>
        <w:autoSpaceDN w:val="0"/>
        <w:adjustRightInd w:val="0"/>
        <w:spacing w:after="0" w:line="480" w:lineRule="auto"/>
        <w:ind w:left="640" w:hanging="640"/>
        <w:rPr>
          <w:rFonts w:cs="Arial"/>
          <w:noProof/>
          <w:szCs w:val="24"/>
          <w:lang w:val="en-US"/>
        </w:rPr>
      </w:pPr>
      <w:r w:rsidRPr="009A0516">
        <w:rPr>
          <w:rFonts w:cs="Arial"/>
          <w:noProof/>
          <w:szCs w:val="24"/>
          <w:lang w:val="en-US"/>
        </w:rPr>
        <w:t>22</w:t>
      </w:r>
      <w:r w:rsidRPr="009A0516">
        <w:rPr>
          <w:rFonts w:cs="Arial"/>
          <w:noProof/>
          <w:szCs w:val="24"/>
          <w:lang w:val="en-US"/>
        </w:rPr>
        <w:tab/>
        <w:t>Mao H-F, Hsueh I-P, Tang P-F, She</w:t>
      </w:r>
      <w:r w:rsidR="00D958FA">
        <w:rPr>
          <w:rFonts w:cs="Arial"/>
          <w:noProof/>
          <w:szCs w:val="24"/>
          <w:lang w:val="en-US"/>
        </w:rPr>
        <w:t>u C-F, Hsieh C-L. Analysis and comparison of the psychometric properties of three balance measures for stroke p</w:t>
      </w:r>
      <w:r w:rsidRPr="009A0516">
        <w:rPr>
          <w:rFonts w:cs="Arial"/>
          <w:noProof/>
          <w:szCs w:val="24"/>
          <w:lang w:val="en-US"/>
        </w:rPr>
        <w:t xml:space="preserve">atients. </w:t>
      </w:r>
      <w:r w:rsidRPr="009A0516">
        <w:rPr>
          <w:rFonts w:cs="Arial"/>
          <w:i/>
          <w:iCs/>
          <w:noProof/>
          <w:szCs w:val="24"/>
          <w:lang w:val="en-US"/>
        </w:rPr>
        <w:t>Stroke</w:t>
      </w:r>
      <w:r w:rsidRPr="009A0516">
        <w:rPr>
          <w:rFonts w:cs="Arial"/>
          <w:noProof/>
          <w:szCs w:val="24"/>
          <w:lang w:val="en-US"/>
        </w:rPr>
        <w:t xml:space="preserve"> 2002; </w:t>
      </w:r>
      <w:r w:rsidRPr="009A0516">
        <w:rPr>
          <w:rFonts w:cs="Arial"/>
          <w:b/>
          <w:bCs/>
          <w:noProof/>
          <w:szCs w:val="24"/>
          <w:lang w:val="en-US"/>
        </w:rPr>
        <w:t>33</w:t>
      </w:r>
      <w:r w:rsidRPr="009A0516">
        <w:rPr>
          <w:rFonts w:cs="Arial"/>
          <w:noProof/>
          <w:szCs w:val="24"/>
          <w:lang w:val="en-US"/>
        </w:rPr>
        <w:t>: 1022–7.</w:t>
      </w:r>
    </w:p>
    <w:p w14:paraId="1A9424C3" w14:textId="6462D588" w:rsidR="009A0516" w:rsidRPr="009A0516" w:rsidRDefault="009A0516" w:rsidP="009A0516">
      <w:pPr>
        <w:widowControl w:val="0"/>
        <w:autoSpaceDE w:val="0"/>
        <w:autoSpaceDN w:val="0"/>
        <w:adjustRightInd w:val="0"/>
        <w:spacing w:after="0" w:line="480" w:lineRule="auto"/>
        <w:ind w:left="640" w:hanging="640"/>
        <w:rPr>
          <w:rFonts w:cs="Arial"/>
          <w:noProof/>
          <w:szCs w:val="24"/>
          <w:lang w:val="en-US"/>
        </w:rPr>
      </w:pPr>
      <w:r w:rsidRPr="009A0516">
        <w:rPr>
          <w:rFonts w:cs="Arial"/>
          <w:noProof/>
          <w:szCs w:val="24"/>
          <w:lang w:val="en-US"/>
        </w:rPr>
        <w:t>23</w:t>
      </w:r>
      <w:r w:rsidRPr="009A0516">
        <w:rPr>
          <w:rFonts w:cs="Arial"/>
          <w:noProof/>
          <w:szCs w:val="24"/>
          <w:lang w:val="en-US"/>
        </w:rPr>
        <w:tab/>
        <w:t xml:space="preserve">Mutlu A, Livanelioglu A, Gunel MK, </w:t>
      </w:r>
      <w:r w:rsidRPr="009A0516">
        <w:rPr>
          <w:rFonts w:cs="Arial"/>
          <w:i/>
          <w:iCs/>
          <w:noProof/>
          <w:szCs w:val="24"/>
          <w:lang w:val="en-US"/>
        </w:rPr>
        <w:t>et al.</w:t>
      </w:r>
      <w:r w:rsidR="00D958FA">
        <w:rPr>
          <w:rFonts w:cs="Arial"/>
          <w:noProof/>
          <w:szCs w:val="24"/>
          <w:lang w:val="en-US"/>
        </w:rPr>
        <w:t xml:space="preserve"> Reliability of ashworth and modified </w:t>
      </w:r>
      <w:r w:rsidR="00D958FA">
        <w:rPr>
          <w:rFonts w:cs="Arial"/>
          <w:noProof/>
          <w:szCs w:val="24"/>
          <w:lang w:val="en-US"/>
        </w:rPr>
        <w:lastRenderedPageBreak/>
        <w:t>ashworth scales in children with spastic cerebral p</w:t>
      </w:r>
      <w:r w:rsidRPr="009A0516">
        <w:rPr>
          <w:rFonts w:cs="Arial"/>
          <w:noProof/>
          <w:szCs w:val="24"/>
          <w:lang w:val="en-US"/>
        </w:rPr>
        <w:t xml:space="preserve">alsy. </w:t>
      </w:r>
      <w:r w:rsidRPr="009A0516">
        <w:rPr>
          <w:rFonts w:cs="Arial"/>
          <w:i/>
          <w:iCs/>
          <w:noProof/>
          <w:szCs w:val="24"/>
          <w:lang w:val="en-US"/>
        </w:rPr>
        <w:t>BMC Musculoskelet Disord</w:t>
      </w:r>
      <w:r w:rsidRPr="009A0516">
        <w:rPr>
          <w:rFonts w:cs="Arial"/>
          <w:noProof/>
          <w:szCs w:val="24"/>
          <w:lang w:val="en-US"/>
        </w:rPr>
        <w:t xml:space="preserve"> 2008; </w:t>
      </w:r>
      <w:r w:rsidRPr="009A0516">
        <w:rPr>
          <w:rFonts w:cs="Arial"/>
          <w:b/>
          <w:bCs/>
          <w:noProof/>
          <w:szCs w:val="24"/>
          <w:lang w:val="en-US"/>
        </w:rPr>
        <w:t>9</w:t>
      </w:r>
      <w:r w:rsidRPr="009A0516">
        <w:rPr>
          <w:rFonts w:cs="Arial"/>
          <w:noProof/>
          <w:szCs w:val="24"/>
          <w:lang w:val="en-US"/>
        </w:rPr>
        <w:t>: 44.</w:t>
      </w:r>
    </w:p>
    <w:p w14:paraId="40530BC8" w14:textId="77777777" w:rsidR="009A0516" w:rsidRPr="009A0516" w:rsidRDefault="009A0516" w:rsidP="009A0516">
      <w:pPr>
        <w:widowControl w:val="0"/>
        <w:autoSpaceDE w:val="0"/>
        <w:autoSpaceDN w:val="0"/>
        <w:adjustRightInd w:val="0"/>
        <w:spacing w:after="0" w:line="480" w:lineRule="auto"/>
        <w:ind w:left="640" w:hanging="640"/>
        <w:rPr>
          <w:rFonts w:cs="Arial"/>
          <w:noProof/>
          <w:szCs w:val="24"/>
          <w:lang w:val="en-US"/>
        </w:rPr>
      </w:pPr>
      <w:r w:rsidRPr="009A0516">
        <w:rPr>
          <w:rFonts w:cs="Arial"/>
          <w:noProof/>
          <w:szCs w:val="24"/>
          <w:lang w:val="en-US"/>
        </w:rPr>
        <w:t>24</w:t>
      </w:r>
      <w:r w:rsidRPr="009A0516">
        <w:rPr>
          <w:rFonts w:cs="Arial"/>
          <w:noProof/>
          <w:szCs w:val="24"/>
          <w:lang w:val="en-US"/>
        </w:rPr>
        <w:tab/>
        <w:t xml:space="preserve">Richards M, Marder K, Cote L, Mayeux R. Interrater reliability of the unified Parkinson’s disease rating scale motor examination. </w:t>
      </w:r>
      <w:r w:rsidRPr="009A0516">
        <w:rPr>
          <w:rFonts w:cs="Arial"/>
          <w:i/>
          <w:iCs/>
          <w:noProof/>
          <w:szCs w:val="24"/>
          <w:lang w:val="en-US"/>
        </w:rPr>
        <w:t>Mov Disord</w:t>
      </w:r>
      <w:r w:rsidRPr="009A0516">
        <w:rPr>
          <w:rFonts w:cs="Arial"/>
          <w:noProof/>
          <w:szCs w:val="24"/>
          <w:lang w:val="en-US"/>
        </w:rPr>
        <w:t xml:space="preserve"> 1994; </w:t>
      </w:r>
      <w:r w:rsidRPr="009A0516">
        <w:rPr>
          <w:rFonts w:cs="Arial"/>
          <w:b/>
          <w:bCs/>
          <w:noProof/>
          <w:szCs w:val="24"/>
          <w:lang w:val="en-US"/>
        </w:rPr>
        <w:t>9</w:t>
      </w:r>
      <w:r w:rsidRPr="009A0516">
        <w:rPr>
          <w:rFonts w:cs="Arial"/>
          <w:noProof/>
          <w:szCs w:val="24"/>
          <w:lang w:val="en-US"/>
        </w:rPr>
        <w:t>: 89–91.</w:t>
      </w:r>
    </w:p>
    <w:p w14:paraId="4CF7C14F" w14:textId="2ADC14F8" w:rsidR="009A0516" w:rsidRPr="009A0516" w:rsidRDefault="009A0516" w:rsidP="009A0516">
      <w:pPr>
        <w:widowControl w:val="0"/>
        <w:autoSpaceDE w:val="0"/>
        <w:autoSpaceDN w:val="0"/>
        <w:adjustRightInd w:val="0"/>
        <w:spacing w:after="0" w:line="480" w:lineRule="auto"/>
        <w:ind w:left="640" w:hanging="640"/>
        <w:rPr>
          <w:rFonts w:cs="Arial"/>
          <w:noProof/>
          <w:szCs w:val="24"/>
          <w:lang w:val="en-US"/>
        </w:rPr>
      </w:pPr>
      <w:r w:rsidRPr="009A0516">
        <w:rPr>
          <w:rFonts w:cs="Arial"/>
          <w:noProof/>
          <w:szCs w:val="24"/>
          <w:lang w:val="en-US"/>
        </w:rPr>
        <w:t>25</w:t>
      </w:r>
      <w:r w:rsidRPr="009A0516">
        <w:rPr>
          <w:rFonts w:cs="Arial"/>
          <w:noProof/>
          <w:szCs w:val="24"/>
          <w:lang w:val="en-US"/>
        </w:rPr>
        <w:tab/>
        <w:t xml:space="preserve">McHugh ML. Interrater reliability: the kappa statistic. </w:t>
      </w:r>
      <w:r w:rsidR="00D958FA">
        <w:rPr>
          <w:rFonts w:cs="Arial"/>
          <w:i/>
          <w:iCs/>
          <w:noProof/>
          <w:szCs w:val="24"/>
          <w:lang w:val="en-US"/>
        </w:rPr>
        <w:t>Biochem M</w:t>
      </w:r>
      <w:r w:rsidRPr="009A0516">
        <w:rPr>
          <w:rFonts w:cs="Arial"/>
          <w:i/>
          <w:iCs/>
          <w:noProof/>
          <w:szCs w:val="24"/>
          <w:lang w:val="en-US"/>
        </w:rPr>
        <w:t>edica</w:t>
      </w:r>
      <w:r w:rsidRPr="009A0516">
        <w:rPr>
          <w:rFonts w:cs="Arial"/>
          <w:noProof/>
          <w:szCs w:val="24"/>
          <w:lang w:val="en-US"/>
        </w:rPr>
        <w:t xml:space="preserve"> 2012; </w:t>
      </w:r>
      <w:r w:rsidRPr="009A0516">
        <w:rPr>
          <w:rFonts w:cs="Arial"/>
          <w:b/>
          <w:bCs/>
          <w:noProof/>
          <w:szCs w:val="24"/>
          <w:lang w:val="en-US"/>
        </w:rPr>
        <w:t>22</w:t>
      </w:r>
      <w:r w:rsidRPr="009A0516">
        <w:rPr>
          <w:rFonts w:cs="Arial"/>
          <w:noProof/>
          <w:szCs w:val="24"/>
          <w:lang w:val="en-US"/>
        </w:rPr>
        <w:t>: 276–82.</w:t>
      </w:r>
    </w:p>
    <w:p w14:paraId="57BFE2BE" w14:textId="77777777" w:rsidR="009A0516" w:rsidRPr="009A0516" w:rsidRDefault="009A0516" w:rsidP="009A0516">
      <w:pPr>
        <w:widowControl w:val="0"/>
        <w:autoSpaceDE w:val="0"/>
        <w:autoSpaceDN w:val="0"/>
        <w:adjustRightInd w:val="0"/>
        <w:spacing w:after="0" w:line="480" w:lineRule="auto"/>
        <w:ind w:left="640" w:hanging="640"/>
        <w:rPr>
          <w:rFonts w:cs="Arial"/>
          <w:noProof/>
        </w:rPr>
      </w:pPr>
      <w:r w:rsidRPr="009A0516">
        <w:rPr>
          <w:rFonts w:cs="Arial"/>
          <w:noProof/>
          <w:szCs w:val="24"/>
          <w:lang w:val="en-US"/>
        </w:rPr>
        <w:t>26</w:t>
      </w:r>
      <w:r w:rsidRPr="009A0516">
        <w:rPr>
          <w:rFonts w:cs="Arial"/>
          <w:noProof/>
          <w:szCs w:val="24"/>
          <w:lang w:val="en-US"/>
        </w:rPr>
        <w:tab/>
        <w:t xml:space="preserve">Graham HK, Harvey A, Rodda J, Nattrass GR, Pirpiris M. The Functional Mobility Scale (FMS). </w:t>
      </w:r>
      <w:r w:rsidRPr="009A0516">
        <w:rPr>
          <w:rFonts w:cs="Arial"/>
          <w:i/>
          <w:iCs/>
          <w:noProof/>
          <w:szCs w:val="24"/>
          <w:lang w:val="en-US"/>
        </w:rPr>
        <w:t>J Pediatr Orthop</w:t>
      </w:r>
      <w:r w:rsidRPr="009A0516">
        <w:rPr>
          <w:rFonts w:cs="Arial"/>
          <w:noProof/>
          <w:szCs w:val="24"/>
          <w:lang w:val="en-US"/>
        </w:rPr>
        <w:t xml:space="preserve"> 2004; </w:t>
      </w:r>
      <w:r w:rsidRPr="009A0516">
        <w:rPr>
          <w:rFonts w:cs="Arial"/>
          <w:b/>
          <w:bCs/>
          <w:noProof/>
          <w:szCs w:val="24"/>
          <w:lang w:val="en-US"/>
        </w:rPr>
        <w:t>24</w:t>
      </w:r>
      <w:r w:rsidRPr="009A0516">
        <w:rPr>
          <w:rFonts w:cs="Arial"/>
          <w:noProof/>
          <w:szCs w:val="24"/>
          <w:lang w:val="en-US"/>
        </w:rPr>
        <w:t>: 514–20.</w:t>
      </w:r>
    </w:p>
    <w:p w14:paraId="44D5085F" w14:textId="289CC416" w:rsidR="006F7977" w:rsidRDefault="00B65F57" w:rsidP="009A0516">
      <w:pPr>
        <w:widowControl w:val="0"/>
        <w:autoSpaceDE w:val="0"/>
        <w:autoSpaceDN w:val="0"/>
        <w:adjustRightInd w:val="0"/>
        <w:spacing w:after="0" w:line="480" w:lineRule="auto"/>
        <w:ind w:left="640" w:hanging="640"/>
      </w:pPr>
      <w:r>
        <w:fldChar w:fldCharType="end"/>
      </w:r>
    </w:p>
    <w:p w14:paraId="1B7A473B" w14:textId="77777777" w:rsidR="00923576" w:rsidRDefault="00923576">
      <w:pPr>
        <w:spacing w:after="0" w:line="240" w:lineRule="auto"/>
        <w:rPr>
          <w:rFonts w:eastAsiaTheme="majorEastAsia" w:cstheme="majorBidi"/>
          <w:b/>
          <w:szCs w:val="32"/>
        </w:rPr>
      </w:pPr>
      <w:r>
        <w:br w:type="page"/>
      </w:r>
    </w:p>
    <w:p w14:paraId="718E2798" w14:textId="5395235B" w:rsidR="0088459B" w:rsidRDefault="0088459B" w:rsidP="0088459B">
      <w:pPr>
        <w:pStyle w:val="Heading1"/>
      </w:pPr>
      <w:r>
        <w:lastRenderedPageBreak/>
        <w:t>Figure Legends / Abbreviations</w:t>
      </w:r>
    </w:p>
    <w:p w14:paraId="6E10D833" w14:textId="782371C6" w:rsidR="0088459B" w:rsidRDefault="00C00DCD" w:rsidP="0088459B">
      <w:r>
        <w:t xml:space="preserve">Figure 1. </w:t>
      </w:r>
      <w:r w:rsidRPr="00C00DCD">
        <w:t>The Psychogenic Movement Disorders Rating Scale (Hinson et al 2005)</w:t>
      </w:r>
    </w:p>
    <w:p w14:paraId="0631BEEB" w14:textId="18C52729" w:rsidR="00923576" w:rsidRPr="0088459B" w:rsidRDefault="00923576" w:rsidP="0088459B">
      <w:r>
        <w:rPr>
          <w:noProof/>
          <w:lang w:eastAsia="en-GB"/>
        </w:rPr>
        <w:drawing>
          <wp:inline distT="0" distB="0" distL="0" distR="0" wp14:anchorId="5E7C095D" wp14:editId="3E9195C7">
            <wp:extent cx="5731510" cy="60833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F44126.tmp"/>
                    <pic:cNvPicPr/>
                  </pic:nvPicPr>
                  <pic:blipFill>
                    <a:blip r:embed="rId9">
                      <a:extLst>
                        <a:ext uri="{28A0092B-C50C-407E-A947-70E740481C1C}">
                          <a14:useLocalDpi xmlns:a14="http://schemas.microsoft.com/office/drawing/2010/main" val="0"/>
                        </a:ext>
                      </a:extLst>
                    </a:blip>
                    <a:stretch>
                      <a:fillRect/>
                    </a:stretch>
                  </pic:blipFill>
                  <pic:spPr>
                    <a:xfrm>
                      <a:off x="0" y="0"/>
                      <a:ext cx="5731510" cy="6083300"/>
                    </a:xfrm>
                    <a:prstGeom prst="rect">
                      <a:avLst/>
                    </a:prstGeom>
                  </pic:spPr>
                </pic:pic>
              </a:graphicData>
            </a:graphic>
          </wp:inline>
        </w:drawing>
      </w:r>
    </w:p>
    <w:p w14:paraId="7AD31A18" w14:textId="77777777" w:rsidR="00923576" w:rsidRDefault="00923576">
      <w:pPr>
        <w:spacing w:after="0" w:line="240" w:lineRule="auto"/>
      </w:pPr>
      <w:r>
        <w:br w:type="page"/>
      </w:r>
    </w:p>
    <w:p w14:paraId="3BD28118" w14:textId="010368AB" w:rsidR="0088459B" w:rsidRDefault="0088459B" w:rsidP="0088459B">
      <w:r>
        <w:lastRenderedPageBreak/>
        <w:t xml:space="preserve">Figure 2. </w:t>
      </w:r>
      <w:r w:rsidRPr="0088459B">
        <w:t>The Simplified Functional Movement Disorders Rating Scale (S-</w:t>
      </w:r>
      <w:proofErr w:type="spellStart"/>
      <w:r w:rsidRPr="0088459B">
        <w:t>FMDRS</w:t>
      </w:r>
      <w:proofErr w:type="spellEnd"/>
      <w:proofErr w:type="gramStart"/>
      <w:r w:rsidRPr="0088459B">
        <w:t>)</w:t>
      </w:r>
      <w:proofErr w:type="gramEnd"/>
      <w:r>
        <w:br/>
      </w:r>
      <w:r w:rsidRPr="0088459B">
        <w:t>Abbreviations: UL=Upper limb; LL=Lower limb</w:t>
      </w:r>
    </w:p>
    <w:p w14:paraId="7EB9FF68" w14:textId="272BDDEF" w:rsidR="001130C6" w:rsidRDefault="00923576" w:rsidP="0088459B">
      <w:r>
        <w:rPr>
          <w:noProof/>
          <w:lang w:eastAsia="en-GB"/>
        </w:rPr>
        <w:drawing>
          <wp:inline distT="0" distB="0" distL="0" distR="0" wp14:anchorId="63C27D1D" wp14:editId="4375855C">
            <wp:extent cx="5731510" cy="229552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F461D1.tmp"/>
                    <pic:cNvPicPr/>
                  </pic:nvPicPr>
                  <pic:blipFill>
                    <a:blip r:embed="rId10">
                      <a:extLst>
                        <a:ext uri="{28A0092B-C50C-407E-A947-70E740481C1C}">
                          <a14:useLocalDpi xmlns:a14="http://schemas.microsoft.com/office/drawing/2010/main" val="0"/>
                        </a:ext>
                      </a:extLst>
                    </a:blip>
                    <a:stretch>
                      <a:fillRect/>
                    </a:stretch>
                  </pic:blipFill>
                  <pic:spPr>
                    <a:xfrm>
                      <a:off x="0" y="0"/>
                      <a:ext cx="5731510" cy="2295525"/>
                    </a:xfrm>
                    <a:prstGeom prst="rect">
                      <a:avLst/>
                    </a:prstGeom>
                  </pic:spPr>
                </pic:pic>
              </a:graphicData>
            </a:graphic>
          </wp:inline>
        </w:drawing>
      </w:r>
    </w:p>
    <w:p w14:paraId="58EDE653" w14:textId="77777777" w:rsidR="001130C6" w:rsidRDefault="001130C6">
      <w:pPr>
        <w:spacing w:after="0" w:line="240" w:lineRule="auto"/>
      </w:pPr>
      <w:r>
        <w:br w:type="page"/>
      </w:r>
      <w:bookmarkStart w:id="0" w:name="_GoBack"/>
      <w:bookmarkEnd w:id="0"/>
    </w:p>
    <w:p w14:paraId="0016FA88" w14:textId="77777777" w:rsidR="001130C6" w:rsidRPr="00FC2491" w:rsidRDefault="001130C6" w:rsidP="001130C6">
      <w:pPr>
        <w:pStyle w:val="Tables"/>
        <w:tabs>
          <w:tab w:val="left" w:pos="3261"/>
        </w:tabs>
        <w:rPr>
          <w:b/>
        </w:rPr>
      </w:pPr>
      <w:r>
        <w:rPr>
          <w:b/>
        </w:rPr>
        <w:lastRenderedPageBreak/>
        <w:t xml:space="preserve">Table 1. </w:t>
      </w:r>
      <w:proofErr w:type="spellStart"/>
      <w:r>
        <w:rPr>
          <w:b/>
        </w:rPr>
        <w:t>Intraclass</w:t>
      </w:r>
      <w:proofErr w:type="spellEnd"/>
      <w:r>
        <w:rPr>
          <w:b/>
        </w:rPr>
        <w:t xml:space="preserve"> correlation coefficient and Light’s kappa values</w:t>
      </w:r>
    </w:p>
    <w:tbl>
      <w:tblPr>
        <w:tblStyle w:val="TableGrid"/>
        <w:tblW w:w="0" w:type="auto"/>
        <w:tblLook w:val="04A0" w:firstRow="1" w:lastRow="0" w:firstColumn="1" w:lastColumn="0" w:noHBand="0" w:noVBand="1"/>
      </w:tblPr>
      <w:tblGrid>
        <w:gridCol w:w="3114"/>
        <w:gridCol w:w="1423"/>
        <w:gridCol w:w="1461"/>
        <w:gridCol w:w="1403"/>
        <w:gridCol w:w="1615"/>
      </w:tblGrid>
      <w:tr w:rsidR="001130C6" w:rsidRPr="00750C7A" w14:paraId="55F76DED" w14:textId="77777777" w:rsidTr="001130C6">
        <w:tc>
          <w:tcPr>
            <w:tcW w:w="3114" w:type="dxa"/>
            <w:shd w:val="clear" w:color="auto" w:fill="D9D9D9" w:themeFill="background1" w:themeFillShade="D9"/>
          </w:tcPr>
          <w:p w14:paraId="0C95E96F" w14:textId="77777777" w:rsidR="001130C6" w:rsidRPr="00750C7A" w:rsidRDefault="001130C6" w:rsidP="0072192F">
            <w:pPr>
              <w:pStyle w:val="Tables"/>
              <w:rPr>
                <w:rFonts w:asciiTheme="minorHAnsi" w:hAnsiTheme="minorHAnsi"/>
                <w:sz w:val="18"/>
                <w:szCs w:val="18"/>
              </w:rPr>
            </w:pPr>
          </w:p>
        </w:tc>
        <w:tc>
          <w:tcPr>
            <w:tcW w:w="1423" w:type="dxa"/>
            <w:shd w:val="clear" w:color="auto" w:fill="D9D9D9" w:themeFill="background1" w:themeFillShade="D9"/>
          </w:tcPr>
          <w:p w14:paraId="6E28F960" w14:textId="77777777" w:rsidR="001130C6" w:rsidRPr="00750C7A" w:rsidRDefault="001130C6" w:rsidP="0072192F">
            <w:pPr>
              <w:pStyle w:val="Tables"/>
              <w:jc w:val="center"/>
              <w:rPr>
                <w:rFonts w:ascii="Calibri" w:hAnsi="Calibri"/>
                <w:b/>
                <w:sz w:val="18"/>
                <w:szCs w:val="18"/>
              </w:rPr>
            </w:pPr>
            <w:proofErr w:type="spellStart"/>
            <w:r w:rsidRPr="00750C7A">
              <w:rPr>
                <w:rFonts w:ascii="Calibri" w:hAnsi="Calibri"/>
                <w:b/>
                <w:sz w:val="18"/>
                <w:szCs w:val="18"/>
              </w:rPr>
              <w:t>Rater</w:t>
            </w:r>
            <w:proofErr w:type="spellEnd"/>
            <w:r w:rsidRPr="00750C7A">
              <w:rPr>
                <w:rFonts w:ascii="Calibri" w:hAnsi="Calibri"/>
                <w:b/>
                <w:sz w:val="18"/>
                <w:szCs w:val="18"/>
              </w:rPr>
              <w:t xml:space="preserve"> 1</w:t>
            </w:r>
          </w:p>
          <w:p w14:paraId="34F3CC42" w14:textId="77777777" w:rsidR="001130C6" w:rsidRPr="00750C7A" w:rsidRDefault="001130C6" w:rsidP="0072192F">
            <w:pPr>
              <w:pStyle w:val="Tables"/>
              <w:jc w:val="center"/>
              <w:rPr>
                <w:rFonts w:asciiTheme="minorHAnsi" w:hAnsiTheme="minorHAnsi"/>
                <w:b/>
                <w:sz w:val="18"/>
                <w:szCs w:val="18"/>
              </w:rPr>
            </w:pPr>
            <w:r w:rsidRPr="00750C7A">
              <w:rPr>
                <w:rFonts w:ascii="Calibri" w:hAnsi="Calibri"/>
                <w:b/>
                <w:sz w:val="18"/>
                <w:szCs w:val="18"/>
              </w:rPr>
              <w:t>mean (SD)</w:t>
            </w:r>
          </w:p>
        </w:tc>
        <w:tc>
          <w:tcPr>
            <w:tcW w:w="1461" w:type="dxa"/>
            <w:shd w:val="clear" w:color="auto" w:fill="D9D9D9" w:themeFill="background1" w:themeFillShade="D9"/>
          </w:tcPr>
          <w:p w14:paraId="07EFD579" w14:textId="77777777" w:rsidR="001130C6" w:rsidRPr="00750C7A" w:rsidRDefault="001130C6" w:rsidP="0072192F">
            <w:pPr>
              <w:pStyle w:val="Tables"/>
              <w:jc w:val="center"/>
              <w:rPr>
                <w:rFonts w:ascii="Calibri" w:hAnsi="Calibri"/>
                <w:b/>
                <w:sz w:val="18"/>
                <w:szCs w:val="18"/>
              </w:rPr>
            </w:pPr>
            <w:proofErr w:type="spellStart"/>
            <w:r w:rsidRPr="00750C7A">
              <w:rPr>
                <w:rFonts w:ascii="Calibri" w:hAnsi="Calibri"/>
                <w:b/>
                <w:sz w:val="18"/>
                <w:szCs w:val="18"/>
              </w:rPr>
              <w:t>Rater</w:t>
            </w:r>
            <w:proofErr w:type="spellEnd"/>
            <w:r w:rsidRPr="00750C7A">
              <w:rPr>
                <w:rFonts w:ascii="Calibri" w:hAnsi="Calibri"/>
                <w:b/>
                <w:sz w:val="18"/>
                <w:szCs w:val="18"/>
              </w:rPr>
              <w:t xml:space="preserve"> 2 </w:t>
            </w:r>
          </w:p>
          <w:p w14:paraId="16DD401A" w14:textId="77777777" w:rsidR="001130C6" w:rsidRPr="00750C7A" w:rsidRDefault="001130C6" w:rsidP="0072192F">
            <w:pPr>
              <w:pStyle w:val="Tables"/>
              <w:jc w:val="center"/>
              <w:rPr>
                <w:rFonts w:asciiTheme="minorHAnsi" w:hAnsiTheme="minorHAnsi"/>
                <w:b/>
                <w:sz w:val="18"/>
                <w:szCs w:val="18"/>
              </w:rPr>
            </w:pPr>
            <w:r w:rsidRPr="00750C7A">
              <w:rPr>
                <w:rFonts w:ascii="Calibri" w:hAnsi="Calibri"/>
                <w:b/>
                <w:sz w:val="18"/>
                <w:szCs w:val="18"/>
              </w:rPr>
              <w:t>mean (SD)</w:t>
            </w:r>
          </w:p>
        </w:tc>
        <w:tc>
          <w:tcPr>
            <w:tcW w:w="1403" w:type="dxa"/>
            <w:shd w:val="clear" w:color="auto" w:fill="D9D9D9" w:themeFill="background1" w:themeFillShade="D9"/>
          </w:tcPr>
          <w:p w14:paraId="40F0E150" w14:textId="77777777" w:rsidR="001130C6" w:rsidRPr="00750C7A" w:rsidRDefault="001130C6" w:rsidP="0072192F">
            <w:pPr>
              <w:pStyle w:val="Tables"/>
              <w:jc w:val="center"/>
              <w:rPr>
                <w:rFonts w:ascii="Calibri" w:hAnsi="Calibri"/>
                <w:b/>
                <w:sz w:val="18"/>
                <w:szCs w:val="18"/>
              </w:rPr>
            </w:pPr>
            <w:proofErr w:type="spellStart"/>
            <w:r>
              <w:rPr>
                <w:rFonts w:ascii="Calibri" w:hAnsi="Calibri"/>
                <w:b/>
                <w:sz w:val="18"/>
                <w:szCs w:val="18"/>
              </w:rPr>
              <w:t>Rater</w:t>
            </w:r>
            <w:proofErr w:type="spellEnd"/>
            <w:r>
              <w:rPr>
                <w:rFonts w:ascii="Calibri" w:hAnsi="Calibri"/>
                <w:b/>
                <w:sz w:val="18"/>
                <w:szCs w:val="18"/>
              </w:rPr>
              <w:t xml:space="preserve"> 3</w:t>
            </w:r>
            <w:r>
              <w:rPr>
                <w:rFonts w:ascii="Calibri" w:hAnsi="Calibri"/>
                <w:b/>
                <w:sz w:val="18"/>
                <w:szCs w:val="18"/>
              </w:rPr>
              <w:br/>
              <w:t>mean (SD)</w:t>
            </w:r>
          </w:p>
        </w:tc>
        <w:tc>
          <w:tcPr>
            <w:tcW w:w="1615" w:type="dxa"/>
            <w:shd w:val="clear" w:color="auto" w:fill="D9D9D9" w:themeFill="background1" w:themeFillShade="D9"/>
          </w:tcPr>
          <w:p w14:paraId="740098EB" w14:textId="77777777" w:rsidR="001130C6" w:rsidRPr="00750C7A" w:rsidRDefault="001130C6" w:rsidP="0072192F">
            <w:pPr>
              <w:pStyle w:val="Tables"/>
              <w:jc w:val="center"/>
              <w:rPr>
                <w:rFonts w:asciiTheme="minorHAnsi" w:hAnsiTheme="minorHAnsi"/>
                <w:b/>
                <w:sz w:val="18"/>
                <w:szCs w:val="18"/>
              </w:rPr>
            </w:pPr>
            <w:r w:rsidRPr="00750C7A">
              <w:rPr>
                <w:rFonts w:ascii="Calibri" w:hAnsi="Calibri"/>
                <w:b/>
                <w:sz w:val="18"/>
                <w:szCs w:val="18"/>
              </w:rPr>
              <w:t>ICC</w:t>
            </w:r>
            <w:r w:rsidRPr="00750C7A">
              <w:rPr>
                <w:rFonts w:ascii="Calibri" w:hAnsi="Calibri"/>
                <w:b/>
                <w:sz w:val="18"/>
                <w:szCs w:val="18"/>
                <w:vertAlign w:val="subscript"/>
              </w:rPr>
              <w:t>(2,1)</w:t>
            </w:r>
          </w:p>
        </w:tc>
      </w:tr>
      <w:tr w:rsidR="001130C6" w:rsidRPr="00750C7A" w14:paraId="6BA11D1B" w14:textId="77777777" w:rsidTr="001130C6">
        <w:tc>
          <w:tcPr>
            <w:tcW w:w="3114" w:type="dxa"/>
          </w:tcPr>
          <w:p w14:paraId="1040EEFF" w14:textId="77777777" w:rsidR="001130C6" w:rsidRPr="00750C7A" w:rsidRDefault="001130C6" w:rsidP="0072192F">
            <w:pPr>
              <w:pStyle w:val="Tables"/>
              <w:rPr>
                <w:rFonts w:asciiTheme="minorHAnsi" w:hAnsiTheme="minorHAnsi"/>
                <w:sz w:val="18"/>
                <w:szCs w:val="18"/>
              </w:rPr>
            </w:pPr>
            <w:proofErr w:type="spellStart"/>
            <w:r w:rsidRPr="00750C7A">
              <w:rPr>
                <w:rFonts w:ascii="Calibri" w:hAnsi="Calibri"/>
                <w:b/>
                <w:sz w:val="18"/>
                <w:szCs w:val="18"/>
              </w:rPr>
              <w:t>PMDRS</w:t>
            </w:r>
            <w:proofErr w:type="spellEnd"/>
          </w:p>
        </w:tc>
        <w:tc>
          <w:tcPr>
            <w:tcW w:w="1423" w:type="dxa"/>
          </w:tcPr>
          <w:p w14:paraId="261D7492" w14:textId="77777777" w:rsidR="001130C6" w:rsidRPr="00750C7A" w:rsidRDefault="001130C6" w:rsidP="0072192F">
            <w:pPr>
              <w:pStyle w:val="Tables"/>
              <w:jc w:val="center"/>
              <w:rPr>
                <w:rFonts w:asciiTheme="minorHAnsi" w:hAnsiTheme="minorHAnsi"/>
                <w:b/>
                <w:sz w:val="18"/>
                <w:szCs w:val="18"/>
              </w:rPr>
            </w:pPr>
          </w:p>
        </w:tc>
        <w:tc>
          <w:tcPr>
            <w:tcW w:w="1461" w:type="dxa"/>
          </w:tcPr>
          <w:p w14:paraId="530DC6E6" w14:textId="77777777" w:rsidR="001130C6" w:rsidRPr="00750C7A" w:rsidRDefault="001130C6" w:rsidP="0072192F">
            <w:pPr>
              <w:pStyle w:val="Tables"/>
              <w:jc w:val="center"/>
              <w:rPr>
                <w:rFonts w:asciiTheme="minorHAnsi" w:hAnsiTheme="minorHAnsi"/>
                <w:b/>
                <w:sz w:val="18"/>
                <w:szCs w:val="18"/>
              </w:rPr>
            </w:pPr>
          </w:p>
        </w:tc>
        <w:tc>
          <w:tcPr>
            <w:tcW w:w="1403" w:type="dxa"/>
          </w:tcPr>
          <w:p w14:paraId="529458CB" w14:textId="77777777" w:rsidR="001130C6" w:rsidRPr="00750C7A" w:rsidRDefault="001130C6" w:rsidP="0072192F">
            <w:pPr>
              <w:pStyle w:val="Tables"/>
              <w:jc w:val="right"/>
              <w:rPr>
                <w:rFonts w:asciiTheme="minorHAnsi" w:hAnsiTheme="minorHAnsi"/>
                <w:b/>
                <w:sz w:val="18"/>
                <w:szCs w:val="18"/>
              </w:rPr>
            </w:pPr>
          </w:p>
        </w:tc>
        <w:tc>
          <w:tcPr>
            <w:tcW w:w="1615" w:type="dxa"/>
          </w:tcPr>
          <w:p w14:paraId="201F4B86" w14:textId="77777777" w:rsidR="001130C6" w:rsidRPr="00750C7A" w:rsidRDefault="001130C6" w:rsidP="0072192F">
            <w:pPr>
              <w:pStyle w:val="Tables"/>
              <w:jc w:val="right"/>
              <w:rPr>
                <w:rFonts w:asciiTheme="minorHAnsi" w:hAnsiTheme="minorHAnsi"/>
                <w:b/>
                <w:sz w:val="18"/>
                <w:szCs w:val="18"/>
              </w:rPr>
            </w:pPr>
          </w:p>
        </w:tc>
      </w:tr>
      <w:tr w:rsidR="001130C6" w:rsidRPr="00750C7A" w14:paraId="0185FFC8" w14:textId="77777777" w:rsidTr="001130C6">
        <w:tc>
          <w:tcPr>
            <w:tcW w:w="3114" w:type="dxa"/>
          </w:tcPr>
          <w:p w14:paraId="1EE69550" w14:textId="77777777" w:rsidR="001130C6" w:rsidRPr="00750C7A" w:rsidRDefault="001130C6" w:rsidP="0072192F">
            <w:pPr>
              <w:pStyle w:val="Tables"/>
              <w:rPr>
                <w:rFonts w:asciiTheme="minorHAnsi" w:hAnsiTheme="minorHAnsi"/>
                <w:sz w:val="18"/>
                <w:szCs w:val="18"/>
              </w:rPr>
            </w:pPr>
            <w:r w:rsidRPr="00750C7A">
              <w:rPr>
                <w:rFonts w:ascii="Calibri" w:hAnsi="Calibri"/>
                <w:sz w:val="18"/>
                <w:szCs w:val="18"/>
              </w:rPr>
              <w:t>Phenomenology score</w:t>
            </w:r>
          </w:p>
        </w:tc>
        <w:tc>
          <w:tcPr>
            <w:tcW w:w="1423" w:type="dxa"/>
          </w:tcPr>
          <w:p w14:paraId="0EFAE553" w14:textId="77777777" w:rsidR="001130C6" w:rsidRPr="00750C7A" w:rsidRDefault="001130C6" w:rsidP="0072192F">
            <w:pPr>
              <w:pStyle w:val="Tables"/>
              <w:jc w:val="right"/>
              <w:rPr>
                <w:rFonts w:asciiTheme="minorHAnsi" w:hAnsiTheme="minorHAnsi"/>
                <w:b/>
                <w:sz w:val="18"/>
                <w:szCs w:val="18"/>
              </w:rPr>
            </w:pPr>
            <w:r w:rsidRPr="00750C7A">
              <w:rPr>
                <w:rFonts w:ascii="Calibri" w:hAnsi="Calibri"/>
                <w:sz w:val="18"/>
                <w:szCs w:val="18"/>
              </w:rPr>
              <w:t>24.6 (18.0)</w:t>
            </w:r>
          </w:p>
        </w:tc>
        <w:tc>
          <w:tcPr>
            <w:tcW w:w="1461" w:type="dxa"/>
          </w:tcPr>
          <w:p w14:paraId="4A3C4AAA" w14:textId="77777777" w:rsidR="001130C6" w:rsidRPr="00750C7A" w:rsidRDefault="001130C6" w:rsidP="0072192F">
            <w:pPr>
              <w:pStyle w:val="Tables"/>
              <w:jc w:val="right"/>
              <w:rPr>
                <w:rFonts w:asciiTheme="minorHAnsi" w:hAnsiTheme="minorHAnsi"/>
                <w:b/>
                <w:sz w:val="18"/>
                <w:szCs w:val="18"/>
              </w:rPr>
            </w:pPr>
            <w:r w:rsidRPr="00750C7A">
              <w:rPr>
                <w:rFonts w:ascii="Calibri" w:hAnsi="Calibri"/>
                <w:sz w:val="18"/>
                <w:szCs w:val="18"/>
              </w:rPr>
              <w:t>25.6 (19.9)</w:t>
            </w:r>
          </w:p>
        </w:tc>
        <w:tc>
          <w:tcPr>
            <w:tcW w:w="1403" w:type="dxa"/>
          </w:tcPr>
          <w:p w14:paraId="0609275D" w14:textId="77777777" w:rsidR="001130C6" w:rsidRPr="00750C7A" w:rsidRDefault="001130C6" w:rsidP="0072192F">
            <w:pPr>
              <w:pStyle w:val="Tables"/>
              <w:jc w:val="right"/>
              <w:rPr>
                <w:rFonts w:ascii="Calibri" w:hAnsi="Calibri"/>
                <w:sz w:val="18"/>
                <w:szCs w:val="18"/>
              </w:rPr>
            </w:pPr>
            <w:r>
              <w:rPr>
                <w:rFonts w:ascii="Calibri" w:hAnsi="Calibri"/>
                <w:sz w:val="18"/>
                <w:szCs w:val="18"/>
              </w:rPr>
              <w:t>21 (17.2)</w:t>
            </w:r>
          </w:p>
        </w:tc>
        <w:tc>
          <w:tcPr>
            <w:tcW w:w="1615" w:type="dxa"/>
          </w:tcPr>
          <w:p w14:paraId="2837D8D4" w14:textId="77777777" w:rsidR="001130C6" w:rsidRPr="002A7D65" w:rsidRDefault="001130C6" w:rsidP="0072192F">
            <w:pPr>
              <w:pStyle w:val="Tables"/>
              <w:jc w:val="right"/>
              <w:rPr>
                <w:rFonts w:asciiTheme="minorHAnsi" w:hAnsiTheme="minorHAnsi"/>
                <w:b/>
                <w:sz w:val="18"/>
                <w:szCs w:val="18"/>
              </w:rPr>
            </w:pPr>
            <w:r w:rsidRPr="002A7D65">
              <w:rPr>
                <w:rFonts w:ascii="Calibri" w:hAnsi="Calibri"/>
                <w:sz w:val="18"/>
                <w:szCs w:val="18"/>
              </w:rPr>
              <w:t>0.80 (0.70</w:t>
            </w:r>
            <w:r>
              <w:rPr>
                <w:rFonts w:ascii="Calibri" w:hAnsi="Calibri"/>
                <w:sz w:val="18"/>
                <w:szCs w:val="18"/>
              </w:rPr>
              <w:t xml:space="preserve">, </w:t>
            </w:r>
            <w:r w:rsidRPr="002A7D65">
              <w:rPr>
                <w:rFonts w:ascii="Calibri" w:hAnsi="Calibri"/>
                <w:sz w:val="18"/>
                <w:szCs w:val="18"/>
              </w:rPr>
              <w:t>0.87)</w:t>
            </w:r>
          </w:p>
        </w:tc>
      </w:tr>
      <w:tr w:rsidR="001130C6" w:rsidRPr="00750C7A" w14:paraId="4D908B1E" w14:textId="77777777" w:rsidTr="001130C6">
        <w:tc>
          <w:tcPr>
            <w:tcW w:w="3114" w:type="dxa"/>
          </w:tcPr>
          <w:p w14:paraId="0CB24911" w14:textId="77777777" w:rsidR="001130C6" w:rsidRPr="00750C7A" w:rsidRDefault="001130C6" w:rsidP="0072192F">
            <w:pPr>
              <w:pStyle w:val="Tables"/>
              <w:rPr>
                <w:rFonts w:asciiTheme="minorHAnsi" w:hAnsiTheme="minorHAnsi"/>
                <w:sz w:val="18"/>
                <w:szCs w:val="18"/>
              </w:rPr>
            </w:pPr>
            <w:r w:rsidRPr="00750C7A">
              <w:rPr>
                <w:rFonts w:ascii="Calibri" w:hAnsi="Calibri"/>
                <w:sz w:val="18"/>
                <w:szCs w:val="18"/>
              </w:rPr>
              <w:t>Function score</w:t>
            </w:r>
            <w:r>
              <w:rPr>
                <w:rFonts w:ascii="Calibri" w:hAnsi="Calibri"/>
                <w:sz w:val="18"/>
                <w:szCs w:val="18"/>
              </w:rPr>
              <w:t xml:space="preserve"> (gait &amp; speech)</w:t>
            </w:r>
          </w:p>
        </w:tc>
        <w:tc>
          <w:tcPr>
            <w:tcW w:w="1423" w:type="dxa"/>
          </w:tcPr>
          <w:p w14:paraId="2EA9C780" w14:textId="77777777" w:rsidR="001130C6" w:rsidRPr="00750C7A" w:rsidRDefault="001130C6" w:rsidP="0072192F">
            <w:pPr>
              <w:pStyle w:val="Tables"/>
              <w:jc w:val="right"/>
              <w:rPr>
                <w:rFonts w:asciiTheme="minorHAnsi" w:hAnsiTheme="minorHAnsi"/>
                <w:b/>
                <w:sz w:val="18"/>
                <w:szCs w:val="18"/>
              </w:rPr>
            </w:pPr>
            <w:r w:rsidRPr="00750C7A">
              <w:rPr>
                <w:rFonts w:ascii="Calibri" w:hAnsi="Calibri"/>
                <w:sz w:val="18"/>
                <w:szCs w:val="18"/>
              </w:rPr>
              <w:t>8.2   (5.7)</w:t>
            </w:r>
          </w:p>
        </w:tc>
        <w:tc>
          <w:tcPr>
            <w:tcW w:w="1461" w:type="dxa"/>
          </w:tcPr>
          <w:p w14:paraId="425752ED" w14:textId="77777777" w:rsidR="001130C6" w:rsidRPr="00750C7A" w:rsidRDefault="001130C6" w:rsidP="0072192F">
            <w:pPr>
              <w:pStyle w:val="Tables"/>
              <w:jc w:val="right"/>
              <w:rPr>
                <w:rFonts w:asciiTheme="minorHAnsi" w:hAnsiTheme="minorHAnsi"/>
                <w:b/>
                <w:sz w:val="18"/>
                <w:szCs w:val="18"/>
              </w:rPr>
            </w:pPr>
            <w:r w:rsidRPr="00750C7A">
              <w:rPr>
                <w:rFonts w:ascii="Calibri" w:hAnsi="Calibri"/>
                <w:sz w:val="18"/>
                <w:szCs w:val="18"/>
              </w:rPr>
              <w:t>6.8   (5.1)</w:t>
            </w:r>
          </w:p>
        </w:tc>
        <w:tc>
          <w:tcPr>
            <w:tcW w:w="1403" w:type="dxa"/>
          </w:tcPr>
          <w:p w14:paraId="2B1532FD" w14:textId="77777777" w:rsidR="001130C6" w:rsidRPr="00750C7A" w:rsidRDefault="001130C6" w:rsidP="0072192F">
            <w:pPr>
              <w:pStyle w:val="Tables"/>
              <w:jc w:val="right"/>
              <w:rPr>
                <w:rFonts w:ascii="Calibri" w:hAnsi="Calibri"/>
                <w:sz w:val="18"/>
                <w:szCs w:val="18"/>
              </w:rPr>
            </w:pPr>
            <w:r>
              <w:rPr>
                <w:rFonts w:ascii="Calibri" w:hAnsi="Calibri"/>
                <w:sz w:val="18"/>
                <w:szCs w:val="18"/>
              </w:rPr>
              <w:t>7.2 (4.9)</w:t>
            </w:r>
          </w:p>
        </w:tc>
        <w:tc>
          <w:tcPr>
            <w:tcW w:w="1615" w:type="dxa"/>
          </w:tcPr>
          <w:p w14:paraId="6751F0D2" w14:textId="77777777" w:rsidR="001130C6" w:rsidRPr="002A7D65" w:rsidRDefault="001130C6" w:rsidP="0072192F">
            <w:pPr>
              <w:pStyle w:val="Tables"/>
              <w:jc w:val="right"/>
              <w:rPr>
                <w:rFonts w:asciiTheme="minorHAnsi" w:hAnsiTheme="minorHAnsi"/>
                <w:b/>
                <w:sz w:val="18"/>
                <w:szCs w:val="18"/>
              </w:rPr>
            </w:pPr>
            <w:r w:rsidRPr="002A7D65">
              <w:rPr>
                <w:rFonts w:ascii="Calibri" w:hAnsi="Calibri"/>
                <w:sz w:val="18"/>
                <w:szCs w:val="18"/>
              </w:rPr>
              <w:t>0.</w:t>
            </w:r>
            <w:r>
              <w:rPr>
                <w:rFonts w:ascii="Calibri" w:hAnsi="Calibri"/>
                <w:sz w:val="18"/>
                <w:szCs w:val="18"/>
              </w:rPr>
              <w:t xml:space="preserve">89 (0.81, </w:t>
            </w:r>
            <w:r w:rsidRPr="002A7D65">
              <w:rPr>
                <w:rFonts w:ascii="Calibri" w:hAnsi="Calibri"/>
                <w:sz w:val="18"/>
                <w:szCs w:val="18"/>
              </w:rPr>
              <w:t>0.93)</w:t>
            </w:r>
          </w:p>
        </w:tc>
      </w:tr>
      <w:tr w:rsidR="001130C6" w:rsidRPr="00750C7A" w14:paraId="4189A001" w14:textId="77777777" w:rsidTr="001130C6">
        <w:tc>
          <w:tcPr>
            <w:tcW w:w="3114" w:type="dxa"/>
          </w:tcPr>
          <w:p w14:paraId="3D35EE24" w14:textId="77777777" w:rsidR="001130C6" w:rsidRPr="00750C7A" w:rsidRDefault="001130C6" w:rsidP="0072192F">
            <w:pPr>
              <w:pStyle w:val="Tables"/>
              <w:rPr>
                <w:rFonts w:asciiTheme="minorHAnsi" w:hAnsiTheme="minorHAnsi"/>
                <w:sz w:val="18"/>
                <w:szCs w:val="18"/>
              </w:rPr>
            </w:pPr>
            <w:r w:rsidRPr="00750C7A">
              <w:rPr>
                <w:rFonts w:ascii="Calibri" w:hAnsi="Calibri"/>
                <w:sz w:val="18"/>
                <w:szCs w:val="18"/>
              </w:rPr>
              <w:t>Total Score</w:t>
            </w:r>
          </w:p>
        </w:tc>
        <w:tc>
          <w:tcPr>
            <w:tcW w:w="1423" w:type="dxa"/>
          </w:tcPr>
          <w:p w14:paraId="58FDB8AA" w14:textId="77777777" w:rsidR="001130C6" w:rsidRPr="00750C7A" w:rsidRDefault="001130C6" w:rsidP="0072192F">
            <w:pPr>
              <w:pStyle w:val="Tables"/>
              <w:jc w:val="right"/>
              <w:rPr>
                <w:rFonts w:asciiTheme="minorHAnsi" w:hAnsiTheme="minorHAnsi"/>
                <w:b/>
                <w:sz w:val="18"/>
                <w:szCs w:val="18"/>
              </w:rPr>
            </w:pPr>
            <w:r w:rsidRPr="00750C7A">
              <w:rPr>
                <w:rFonts w:ascii="Calibri" w:hAnsi="Calibri"/>
                <w:sz w:val="18"/>
                <w:szCs w:val="18"/>
              </w:rPr>
              <w:t>32.8 (21.2)</w:t>
            </w:r>
          </w:p>
        </w:tc>
        <w:tc>
          <w:tcPr>
            <w:tcW w:w="1461" w:type="dxa"/>
          </w:tcPr>
          <w:p w14:paraId="18A22694" w14:textId="77777777" w:rsidR="001130C6" w:rsidRPr="00750C7A" w:rsidRDefault="001130C6" w:rsidP="0072192F">
            <w:pPr>
              <w:pStyle w:val="Tables"/>
              <w:jc w:val="right"/>
              <w:rPr>
                <w:rFonts w:asciiTheme="minorHAnsi" w:hAnsiTheme="minorHAnsi"/>
                <w:b/>
                <w:sz w:val="18"/>
                <w:szCs w:val="18"/>
              </w:rPr>
            </w:pPr>
            <w:r w:rsidRPr="00750C7A">
              <w:rPr>
                <w:rFonts w:ascii="Calibri" w:hAnsi="Calibri"/>
                <w:sz w:val="18"/>
                <w:szCs w:val="18"/>
              </w:rPr>
              <w:t>32.4 (22.8)</w:t>
            </w:r>
          </w:p>
        </w:tc>
        <w:tc>
          <w:tcPr>
            <w:tcW w:w="1403" w:type="dxa"/>
          </w:tcPr>
          <w:p w14:paraId="1FAEC6EC" w14:textId="77777777" w:rsidR="001130C6" w:rsidRPr="00750C7A" w:rsidRDefault="001130C6" w:rsidP="0072192F">
            <w:pPr>
              <w:pStyle w:val="Tables"/>
              <w:jc w:val="right"/>
              <w:rPr>
                <w:rFonts w:ascii="Calibri" w:hAnsi="Calibri"/>
                <w:sz w:val="18"/>
                <w:szCs w:val="18"/>
              </w:rPr>
            </w:pPr>
            <w:r>
              <w:rPr>
                <w:rFonts w:ascii="Calibri" w:hAnsi="Calibri"/>
                <w:sz w:val="18"/>
                <w:szCs w:val="18"/>
              </w:rPr>
              <w:t>28.4 (20.3)</w:t>
            </w:r>
          </w:p>
        </w:tc>
        <w:tc>
          <w:tcPr>
            <w:tcW w:w="1615" w:type="dxa"/>
          </w:tcPr>
          <w:p w14:paraId="0F120655" w14:textId="77777777" w:rsidR="001130C6" w:rsidRPr="002A7D65" w:rsidRDefault="001130C6" w:rsidP="0072192F">
            <w:pPr>
              <w:pStyle w:val="Tables"/>
              <w:jc w:val="right"/>
              <w:rPr>
                <w:rFonts w:asciiTheme="minorHAnsi" w:hAnsiTheme="minorHAnsi"/>
                <w:b/>
                <w:sz w:val="18"/>
                <w:szCs w:val="18"/>
              </w:rPr>
            </w:pPr>
            <w:r>
              <w:rPr>
                <w:rFonts w:ascii="Calibri" w:hAnsi="Calibri"/>
                <w:sz w:val="18"/>
                <w:szCs w:val="18"/>
              </w:rPr>
              <w:t xml:space="preserve">0.84 (0.75, </w:t>
            </w:r>
            <w:r w:rsidRPr="002A7D65">
              <w:rPr>
                <w:rFonts w:ascii="Calibri" w:hAnsi="Calibri"/>
                <w:sz w:val="18"/>
                <w:szCs w:val="18"/>
              </w:rPr>
              <w:t>0.90)</w:t>
            </w:r>
          </w:p>
        </w:tc>
      </w:tr>
      <w:tr w:rsidR="001130C6" w:rsidRPr="00750C7A" w14:paraId="3FFCF288" w14:textId="77777777" w:rsidTr="001130C6">
        <w:tc>
          <w:tcPr>
            <w:tcW w:w="3114" w:type="dxa"/>
          </w:tcPr>
          <w:p w14:paraId="57CC17E2" w14:textId="77777777" w:rsidR="001130C6" w:rsidRPr="00750C7A" w:rsidRDefault="001130C6" w:rsidP="0072192F">
            <w:pPr>
              <w:pStyle w:val="Tables"/>
              <w:rPr>
                <w:rFonts w:asciiTheme="minorHAnsi" w:hAnsiTheme="minorHAnsi"/>
                <w:sz w:val="18"/>
                <w:szCs w:val="18"/>
              </w:rPr>
            </w:pPr>
            <w:r>
              <w:rPr>
                <w:rFonts w:ascii="Calibri" w:hAnsi="Calibri"/>
                <w:b/>
                <w:sz w:val="18"/>
                <w:szCs w:val="18"/>
              </w:rPr>
              <w:t>S-</w:t>
            </w:r>
            <w:proofErr w:type="spellStart"/>
            <w:r>
              <w:rPr>
                <w:rFonts w:ascii="Calibri" w:hAnsi="Calibri"/>
                <w:b/>
                <w:sz w:val="18"/>
                <w:szCs w:val="18"/>
              </w:rPr>
              <w:t>FMDRS</w:t>
            </w:r>
            <w:proofErr w:type="spellEnd"/>
          </w:p>
        </w:tc>
        <w:tc>
          <w:tcPr>
            <w:tcW w:w="1423" w:type="dxa"/>
          </w:tcPr>
          <w:p w14:paraId="4BBD2AEB" w14:textId="77777777" w:rsidR="001130C6" w:rsidRPr="00750C7A" w:rsidRDefault="001130C6" w:rsidP="0072192F">
            <w:pPr>
              <w:pStyle w:val="Tables"/>
              <w:jc w:val="right"/>
              <w:rPr>
                <w:rFonts w:asciiTheme="minorHAnsi" w:hAnsiTheme="minorHAnsi"/>
                <w:b/>
                <w:sz w:val="18"/>
                <w:szCs w:val="18"/>
              </w:rPr>
            </w:pPr>
          </w:p>
        </w:tc>
        <w:tc>
          <w:tcPr>
            <w:tcW w:w="1461" w:type="dxa"/>
          </w:tcPr>
          <w:p w14:paraId="33244FD7" w14:textId="77777777" w:rsidR="001130C6" w:rsidRPr="00750C7A" w:rsidRDefault="001130C6" w:rsidP="0072192F">
            <w:pPr>
              <w:pStyle w:val="Tables"/>
              <w:jc w:val="right"/>
              <w:rPr>
                <w:rFonts w:asciiTheme="minorHAnsi" w:hAnsiTheme="minorHAnsi"/>
                <w:b/>
                <w:sz w:val="18"/>
                <w:szCs w:val="18"/>
              </w:rPr>
            </w:pPr>
          </w:p>
        </w:tc>
        <w:tc>
          <w:tcPr>
            <w:tcW w:w="1403" w:type="dxa"/>
          </w:tcPr>
          <w:p w14:paraId="1317B61D" w14:textId="77777777" w:rsidR="001130C6" w:rsidRPr="00750C7A" w:rsidRDefault="001130C6" w:rsidP="0072192F">
            <w:pPr>
              <w:pStyle w:val="Tables"/>
              <w:jc w:val="right"/>
              <w:rPr>
                <w:rFonts w:asciiTheme="minorHAnsi" w:hAnsiTheme="minorHAnsi"/>
                <w:b/>
                <w:sz w:val="18"/>
                <w:szCs w:val="18"/>
              </w:rPr>
            </w:pPr>
          </w:p>
        </w:tc>
        <w:tc>
          <w:tcPr>
            <w:tcW w:w="1615" w:type="dxa"/>
          </w:tcPr>
          <w:p w14:paraId="0FB22332" w14:textId="77777777" w:rsidR="001130C6" w:rsidRPr="002A7D65" w:rsidRDefault="001130C6" w:rsidP="0072192F">
            <w:pPr>
              <w:pStyle w:val="Tables"/>
              <w:jc w:val="right"/>
              <w:rPr>
                <w:rFonts w:asciiTheme="minorHAnsi" w:hAnsiTheme="minorHAnsi"/>
                <w:b/>
                <w:sz w:val="18"/>
                <w:szCs w:val="18"/>
              </w:rPr>
            </w:pPr>
          </w:p>
        </w:tc>
      </w:tr>
      <w:tr w:rsidR="001130C6" w:rsidRPr="00750C7A" w14:paraId="6C7214A6" w14:textId="77777777" w:rsidTr="001130C6">
        <w:tc>
          <w:tcPr>
            <w:tcW w:w="3114" w:type="dxa"/>
          </w:tcPr>
          <w:p w14:paraId="65F11C2D" w14:textId="77777777" w:rsidR="001130C6" w:rsidRPr="00750C7A" w:rsidRDefault="001130C6" w:rsidP="0072192F">
            <w:pPr>
              <w:pStyle w:val="Tables"/>
              <w:rPr>
                <w:rFonts w:asciiTheme="minorHAnsi" w:hAnsiTheme="minorHAnsi"/>
                <w:sz w:val="18"/>
                <w:szCs w:val="18"/>
              </w:rPr>
            </w:pPr>
            <w:r w:rsidRPr="00750C7A">
              <w:rPr>
                <w:rFonts w:ascii="Calibri" w:hAnsi="Calibri"/>
                <w:sz w:val="18"/>
                <w:szCs w:val="18"/>
              </w:rPr>
              <w:t>Body region score</w:t>
            </w:r>
          </w:p>
        </w:tc>
        <w:tc>
          <w:tcPr>
            <w:tcW w:w="1423" w:type="dxa"/>
          </w:tcPr>
          <w:p w14:paraId="6DD2E334" w14:textId="77777777" w:rsidR="001130C6" w:rsidRPr="00750C7A" w:rsidRDefault="001130C6" w:rsidP="0072192F">
            <w:pPr>
              <w:pStyle w:val="Tables"/>
              <w:jc w:val="right"/>
              <w:rPr>
                <w:rFonts w:asciiTheme="minorHAnsi" w:hAnsiTheme="minorHAnsi"/>
                <w:b/>
                <w:sz w:val="18"/>
                <w:szCs w:val="18"/>
              </w:rPr>
            </w:pPr>
            <w:r>
              <w:rPr>
                <w:rFonts w:ascii="Calibri" w:hAnsi="Calibri"/>
                <w:sz w:val="18"/>
                <w:szCs w:val="18"/>
              </w:rPr>
              <w:t>9.1 (6.7</w:t>
            </w:r>
            <w:r w:rsidRPr="00750C7A">
              <w:rPr>
                <w:rFonts w:ascii="Calibri" w:hAnsi="Calibri"/>
                <w:sz w:val="18"/>
                <w:szCs w:val="18"/>
              </w:rPr>
              <w:t>)</w:t>
            </w:r>
          </w:p>
        </w:tc>
        <w:tc>
          <w:tcPr>
            <w:tcW w:w="1461" w:type="dxa"/>
          </w:tcPr>
          <w:p w14:paraId="4E634191" w14:textId="77777777" w:rsidR="001130C6" w:rsidRPr="00750C7A" w:rsidRDefault="001130C6" w:rsidP="0072192F">
            <w:pPr>
              <w:pStyle w:val="Tables"/>
              <w:jc w:val="right"/>
              <w:rPr>
                <w:rFonts w:asciiTheme="minorHAnsi" w:hAnsiTheme="minorHAnsi"/>
                <w:b/>
                <w:sz w:val="18"/>
                <w:szCs w:val="18"/>
              </w:rPr>
            </w:pPr>
            <w:r>
              <w:rPr>
                <w:rFonts w:ascii="Calibri" w:hAnsi="Calibri"/>
                <w:sz w:val="18"/>
                <w:szCs w:val="18"/>
              </w:rPr>
              <w:t>9.5 (7.1</w:t>
            </w:r>
            <w:r w:rsidRPr="00750C7A">
              <w:rPr>
                <w:rFonts w:ascii="Calibri" w:hAnsi="Calibri"/>
                <w:sz w:val="18"/>
                <w:szCs w:val="18"/>
              </w:rPr>
              <w:t>)</w:t>
            </w:r>
          </w:p>
        </w:tc>
        <w:tc>
          <w:tcPr>
            <w:tcW w:w="1403" w:type="dxa"/>
          </w:tcPr>
          <w:p w14:paraId="50D7454C" w14:textId="77777777" w:rsidR="001130C6" w:rsidRPr="00750C7A" w:rsidRDefault="001130C6" w:rsidP="0072192F">
            <w:pPr>
              <w:pStyle w:val="Tables"/>
              <w:jc w:val="right"/>
              <w:rPr>
                <w:rFonts w:ascii="Calibri" w:hAnsi="Calibri"/>
                <w:sz w:val="18"/>
                <w:szCs w:val="18"/>
              </w:rPr>
            </w:pPr>
            <w:r>
              <w:rPr>
                <w:rFonts w:ascii="Calibri" w:hAnsi="Calibri"/>
                <w:sz w:val="18"/>
                <w:szCs w:val="18"/>
              </w:rPr>
              <w:t>9.8 (6.9)</w:t>
            </w:r>
          </w:p>
        </w:tc>
        <w:tc>
          <w:tcPr>
            <w:tcW w:w="1615" w:type="dxa"/>
          </w:tcPr>
          <w:p w14:paraId="6D8A447B" w14:textId="77777777" w:rsidR="001130C6" w:rsidRPr="002A7D65" w:rsidRDefault="001130C6" w:rsidP="0072192F">
            <w:pPr>
              <w:pStyle w:val="Tables"/>
              <w:jc w:val="right"/>
              <w:rPr>
                <w:rFonts w:asciiTheme="minorHAnsi" w:hAnsiTheme="minorHAnsi"/>
                <w:b/>
                <w:sz w:val="18"/>
                <w:szCs w:val="18"/>
              </w:rPr>
            </w:pPr>
            <w:r w:rsidRPr="002A7D65">
              <w:rPr>
                <w:rFonts w:ascii="Calibri" w:hAnsi="Calibri"/>
                <w:sz w:val="18"/>
                <w:szCs w:val="18"/>
              </w:rPr>
              <w:t>0.78 (0.68</w:t>
            </w:r>
            <w:r>
              <w:rPr>
                <w:rFonts w:ascii="Calibri" w:hAnsi="Calibri"/>
                <w:sz w:val="18"/>
                <w:szCs w:val="18"/>
              </w:rPr>
              <w:t xml:space="preserve">, </w:t>
            </w:r>
            <w:r w:rsidRPr="002A7D65">
              <w:rPr>
                <w:rFonts w:ascii="Calibri" w:hAnsi="Calibri"/>
                <w:sz w:val="18"/>
                <w:szCs w:val="18"/>
              </w:rPr>
              <w:t>0.86)</w:t>
            </w:r>
          </w:p>
        </w:tc>
      </w:tr>
      <w:tr w:rsidR="001130C6" w:rsidRPr="00750C7A" w14:paraId="7C2CBBEE" w14:textId="77777777" w:rsidTr="001130C6">
        <w:tc>
          <w:tcPr>
            <w:tcW w:w="3114" w:type="dxa"/>
            <w:tcBorders>
              <w:bottom w:val="single" w:sz="4" w:space="0" w:color="auto"/>
            </w:tcBorders>
          </w:tcPr>
          <w:p w14:paraId="6F8F08C8" w14:textId="77777777" w:rsidR="001130C6" w:rsidRPr="00750C7A" w:rsidRDefault="001130C6" w:rsidP="0072192F">
            <w:pPr>
              <w:pStyle w:val="Tables"/>
              <w:rPr>
                <w:rFonts w:asciiTheme="minorHAnsi" w:hAnsiTheme="minorHAnsi"/>
                <w:sz w:val="18"/>
                <w:szCs w:val="18"/>
              </w:rPr>
            </w:pPr>
            <w:r w:rsidRPr="00750C7A">
              <w:rPr>
                <w:rFonts w:ascii="Calibri" w:hAnsi="Calibri"/>
                <w:sz w:val="18"/>
                <w:szCs w:val="18"/>
              </w:rPr>
              <w:t>Function score</w:t>
            </w:r>
            <w:r>
              <w:rPr>
                <w:rFonts w:ascii="Calibri" w:hAnsi="Calibri"/>
                <w:sz w:val="18"/>
                <w:szCs w:val="18"/>
              </w:rPr>
              <w:t xml:space="preserve"> (gait &amp; speech)</w:t>
            </w:r>
          </w:p>
        </w:tc>
        <w:tc>
          <w:tcPr>
            <w:tcW w:w="1423" w:type="dxa"/>
            <w:tcBorders>
              <w:bottom w:val="single" w:sz="4" w:space="0" w:color="auto"/>
            </w:tcBorders>
          </w:tcPr>
          <w:p w14:paraId="5D50D0D3" w14:textId="77777777" w:rsidR="001130C6" w:rsidRPr="00750C7A" w:rsidRDefault="001130C6" w:rsidP="0072192F">
            <w:pPr>
              <w:pStyle w:val="Tables"/>
              <w:jc w:val="right"/>
              <w:rPr>
                <w:rFonts w:asciiTheme="minorHAnsi" w:hAnsiTheme="minorHAnsi"/>
                <w:b/>
                <w:sz w:val="18"/>
                <w:szCs w:val="18"/>
              </w:rPr>
            </w:pPr>
            <w:r>
              <w:rPr>
                <w:rFonts w:ascii="Calibri" w:hAnsi="Calibri"/>
                <w:sz w:val="18"/>
                <w:szCs w:val="18"/>
              </w:rPr>
              <w:t>4.3 (2.8</w:t>
            </w:r>
            <w:r w:rsidRPr="00750C7A">
              <w:rPr>
                <w:rFonts w:ascii="Calibri" w:hAnsi="Calibri"/>
                <w:sz w:val="18"/>
                <w:szCs w:val="18"/>
              </w:rPr>
              <w:t>)</w:t>
            </w:r>
          </w:p>
        </w:tc>
        <w:tc>
          <w:tcPr>
            <w:tcW w:w="1461" w:type="dxa"/>
            <w:tcBorders>
              <w:bottom w:val="single" w:sz="4" w:space="0" w:color="auto"/>
            </w:tcBorders>
          </w:tcPr>
          <w:p w14:paraId="00680559" w14:textId="77777777" w:rsidR="001130C6" w:rsidRPr="00750C7A" w:rsidRDefault="001130C6" w:rsidP="0072192F">
            <w:pPr>
              <w:pStyle w:val="Tables"/>
              <w:jc w:val="right"/>
              <w:rPr>
                <w:rFonts w:asciiTheme="minorHAnsi" w:hAnsiTheme="minorHAnsi"/>
                <w:b/>
                <w:sz w:val="18"/>
                <w:szCs w:val="18"/>
              </w:rPr>
            </w:pPr>
            <w:r>
              <w:rPr>
                <w:rFonts w:ascii="Calibri" w:hAnsi="Calibri"/>
                <w:sz w:val="18"/>
                <w:szCs w:val="18"/>
              </w:rPr>
              <w:t>3.6 (2.7</w:t>
            </w:r>
            <w:r w:rsidRPr="00750C7A">
              <w:rPr>
                <w:rFonts w:ascii="Calibri" w:hAnsi="Calibri"/>
                <w:sz w:val="18"/>
                <w:szCs w:val="18"/>
              </w:rPr>
              <w:t>)</w:t>
            </w:r>
          </w:p>
        </w:tc>
        <w:tc>
          <w:tcPr>
            <w:tcW w:w="1403" w:type="dxa"/>
            <w:tcBorders>
              <w:bottom w:val="single" w:sz="4" w:space="0" w:color="auto"/>
            </w:tcBorders>
          </w:tcPr>
          <w:p w14:paraId="31A1E0E1" w14:textId="77777777" w:rsidR="001130C6" w:rsidRPr="00750C7A" w:rsidRDefault="001130C6" w:rsidP="0072192F">
            <w:pPr>
              <w:pStyle w:val="Tables"/>
              <w:jc w:val="right"/>
              <w:rPr>
                <w:rFonts w:ascii="Calibri" w:hAnsi="Calibri"/>
                <w:sz w:val="18"/>
                <w:szCs w:val="18"/>
              </w:rPr>
            </w:pPr>
            <w:r>
              <w:rPr>
                <w:rFonts w:ascii="Calibri" w:hAnsi="Calibri"/>
                <w:sz w:val="18"/>
                <w:szCs w:val="18"/>
              </w:rPr>
              <w:t>4.2 (2.6)</w:t>
            </w:r>
          </w:p>
        </w:tc>
        <w:tc>
          <w:tcPr>
            <w:tcW w:w="1615" w:type="dxa"/>
            <w:tcBorders>
              <w:bottom w:val="single" w:sz="4" w:space="0" w:color="auto"/>
            </w:tcBorders>
          </w:tcPr>
          <w:p w14:paraId="2A3CDE66" w14:textId="77777777" w:rsidR="001130C6" w:rsidRPr="002A7D65" w:rsidRDefault="001130C6" w:rsidP="0072192F">
            <w:pPr>
              <w:pStyle w:val="Tables"/>
              <w:jc w:val="right"/>
              <w:rPr>
                <w:rFonts w:asciiTheme="minorHAnsi" w:hAnsiTheme="minorHAnsi"/>
                <w:b/>
                <w:sz w:val="18"/>
                <w:szCs w:val="18"/>
              </w:rPr>
            </w:pPr>
            <w:r w:rsidRPr="002A7D65">
              <w:rPr>
                <w:rFonts w:ascii="Calibri" w:hAnsi="Calibri"/>
                <w:sz w:val="18"/>
                <w:szCs w:val="18"/>
              </w:rPr>
              <w:t>0.86 (0</w:t>
            </w:r>
            <w:r>
              <w:rPr>
                <w:rFonts w:ascii="Calibri" w:hAnsi="Calibri"/>
                <w:sz w:val="18"/>
                <w:szCs w:val="18"/>
              </w:rPr>
              <w:t xml:space="preserve">.78, </w:t>
            </w:r>
            <w:r w:rsidRPr="002A7D65">
              <w:rPr>
                <w:rFonts w:ascii="Calibri" w:hAnsi="Calibri"/>
                <w:sz w:val="18"/>
                <w:szCs w:val="18"/>
              </w:rPr>
              <w:t>0.91)</w:t>
            </w:r>
          </w:p>
        </w:tc>
      </w:tr>
      <w:tr w:rsidR="001130C6" w:rsidRPr="00750C7A" w14:paraId="6400B342" w14:textId="77777777" w:rsidTr="001130C6">
        <w:tc>
          <w:tcPr>
            <w:tcW w:w="3114" w:type="dxa"/>
          </w:tcPr>
          <w:p w14:paraId="5B32813C" w14:textId="77777777" w:rsidR="001130C6" w:rsidRPr="00750C7A" w:rsidRDefault="001130C6" w:rsidP="0072192F">
            <w:pPr>
              <w:pStyle w:val="Tables"/>
              <w:rPr>
                <w:rFonts w:asciiTheme="minorHAnsi" w:hAnsiTheme="minorHAnsi"/>
                <w:sz w:val="18"/>
                <w:szCs w:val="18"/>
              </w:rPr>
            </w:pPr>
            <w:r w:rsidRPr="00750C7A">
              <w:rPr>
                <w:rFonts w:ascii="Calibri" w:hAnsi="Calibri"/>
                <w:sz w:val="18"/>
                <w:szCs w:val="18"/>
              </w:rPr>
              <w:t>Total Score</w:t>
            </w:r>
          </w:p>
        </w:tc>
        <w:tc>
          <w:tcPr>
            <w:tcW w:w="1423" w:type="dxa"/>
          </w:tcPr>
          <w:p w14:paraId="3B94CAAA" w14:textId="77777777" w:rsidR="001130C6" w:rsidRPr="00750C7A" w:rsidRDefault="001130C6" w:rsidP="0072192F">
            <w:pPr>
              <w:pStyle w:val="Tables"/>
              <w:jc w:val="right"/>
              <w:rPr>
                <w:rFonts w:asciiTheme="minorHAnsi" w:hAnsiTheme="minorHAnsi"/>
                <w:b/>
                <w:sz w:val="18"/>
                <w:szCs w:val="18"/>
              </w:rPr>
            </w:pPr>
            <w:r>
              <w:rPr>
                <w:rFonts w:ascii="Calibri" w:hAnsi="Calibri"/>
                <w:sz w:val="18"/>
                <w:szCs w:val="18"/>
              </w:rPr>
              <w:t>13.4 (8.5</w:t>
            </w:r>
            <w:r w:rsidRPr="00750C7A">
              <w:rPr>
                <w:rFonts w:ascii="Calibri" w:hAnsi="Calibri"/>
                <w:sz w:val="18"/>
                <w:szCs w:val="18"/>
              </w:rPr>
              <w:t>)</w:t>
            </w:r>
          </w:p>
        </w:tc>
        <w:tc>
          <w:tcPr>
            <w:tcW w:w="1461" w:type="dxa"/>
          </w:tcPr>
          <w:p w14:paraId="562FBCDD" w14:textId="77777777" w:rsidR="001130C6" w:rsidRPr="00750C7A" w:rsidRDefault="001130C6" w:rsidP="0072192F">
            <w:pPr>
              <w:pStyle w:val="Tables"/>
              <w:jc w:val="right"/>
              <w:rPr>
                <w:rFonts w:asciiTheme="minorHAnsi" w:hAnsiTheme="minorHAnsi"/>
                <w:b/>
                <w:sz w:val="18"/>
                <w:szCs w:val="18"/>
              </w:rPr>
            </w:pPr>
            <w:r>
              <w:rPr>
                <w:rFonts w:ascii="Calibri" w:hAnsi="Calibri"/>
                <w:sz w:val="18"/>
                <w:szCs w:val="18"/>
              </w:rPr>
              <w:t>13.1 (8.7</w:t>
            </w:r>
            <w:r w:rsidRPr="00750C7A">
              <w:rPr>
                <w:rFonts w:ascii="Calibri" w:hAnsi="Calibri"/>
                <w:sz w:val="18"/>
                <w:szCs w:val="18"/>
              </w:rPr>
              <w:t>)</w:t>
            </w:r>
          </w:p>
        </w:tc>
        <w:tc>
          <w:tcPr>
            <w:tcW w:w="1403" w:type="dxa"/>
          </w:tcPr>
          <w:p w14:paraId="006D53B7" w14:textId="77777777" w:rsidR="001130C6" w:rsidRPr="00750C7A" w:rsidRDefault="001130C6" w:rsidP="0072192F">
            <w:pPr>
              <w:pStyle w:val="Tables"/>
              <w:jc w:val="right"/>
              <w:rPr>
                <w:rFonts w:ascii="Calibri" w:hAnsi="Calibri"/>
                <w:sz w:val="18"/>
                <w:szCs w:val="18"/>
              </w:rPr>
            </w:pPr>
            <w:r>
              <w:rPr>
                <w:rFonts w:ascii="Calibri" w:hAnsi="Calibri"/>
                <w:sz w:val="18"/>
                <w:szCs w:val="18"/>
              </w:rPr>
              <w:t>14.0 (8.6)</w:t>
            </w:r>
          </w:p>
        </w:tc>
        <w:tc>
          <w:tcPr>
            <w:tcW w:w="1615" w:type="dxa"/>
          </w:tcPr>
          <w:p w14:paraId="7D313665" w14:textId="77777777" w:rsidR="001130C6" w:rsidRPr="002A7D65" w:rsidRDefault="001130C6" w:rsidP="0072192F">
            <w:pPr>
              <w:pStyle w:val="Tables"/>
              <w:jc w:val="right"/>
              <w:rPr>
                <w:rFonts w:asciiTheme="minorHAnsi" w:hAnsiTheme="minorHAnsi"/>
                <w:b/>
                <w:sz w:val="18"/>
                <w:szCs w:val="18"/>
              </w:rPr>
            </w:pPr>
            <w:r w:rsidRPr="002A7D65">
              <w:rPr>
                <w:rFonts w:ascii="Calibri" w:hAnsi="Calibri"/>
                <w:sz w:val="18"/>
                <w:szCs w:val="18"/>
              </w:rPr>
              <w:t>0.85 (0.77</w:t>
            </w:r>
            <w:r>
              <w:rPr>
                <w:rFonts w:ascii="Calibri" w:hAnsi="Calibri"/>
                <w:sz w:val="18"/>
                <w:szCs w:val="18"/>
              </w:rPr>
              <w:t xml:space="preserve">, </w:t>
            </w:r>
            <w:r w:rsidRPr="002A7D65">
              <w:rPr>
                <w:rFonts w:ascii="Calibri" w:hAnsi="Calibri"/>
                <w:sz w:val="18"/>
                <w:szCs w:val="18"/>
              </w:rPr>
              <w:t>0.90)</w:t>
            </w:r>
          </w:p>
        </w:tc>
      </w:tr>
      <w:tr w:rsidR="001130C6" w:rsidRPr="00750C7A" w14:paraId="11721321" w14:textId="77777777" w:rsidTr="001130C6">
        <w:tc>
          <w:tcPr>
            <w:tcW w:w="3114" w:type="dxa"/>
            <w:shd w:val="clear" w:color="auto" w:fill="D9D9D9" w:themeFill="background1" w:themeFillShade="D9"/>
          </w:tcPr>
          <w:p w14:paraId="09E9C605" w14:textId="77777777" w:rsidR="001130C6" w:rsidRPr="00750C7A" w:rsidRDefault="001130C6" w:rsidP="0072192F">
            <w:pPr>
              <w:pStyle w:val="Tables"/>
              <w:rPr>
                <w:rFonts w:asciiTheme="minorHAnsi" w:hAnsiTheme="minorHAnsi"/>
                <w:sz w:val="18"/>
                <w:szCs w:val="18"/>
              </w:rPr>
            </w:pPr>
          </w:p>
        </w:tc>
        <w:tc>
          <w:tcPr>
            <w:tcW w:w="1423" w:type="dxa"/>
            <w:shd w:val="clear" w:color="auto" w:fill="D9D9D9" w:themeFill="background1" w:themeFillShade="D9"/>
          </w:tcPr>
          <w:p w14:paraId="685E5587" w14:textId="77777777" w:rsidR="001130C6" w:rsidRPr="00750C7A" w:rsidRDefault="001130C6" w:rsidP="0072192F">
            <w:pPr>
              <w:pStyle w:val="Tables"/>
              <w:jc w:val="center"/>
              <w:rPr>
                <w:rFonts w:ascii="Calibri" w:hAnsi="Calibri"/>
                <w:b/>
                <w:sz w:val="18"/>
                <w:szCs w:val="18"/>
              </w:rPr>
            </w:pPr>
            <w:proofErr w:type="spellStart"/>
            <w:r w:rsidRPr="00750C7A">
              <w:rPr>
                <w:rFonts w:ascii="Calibri" w:hAnsi="Calibri"/>
                <w:b/>
                <w:sz w:val="18"/>
                <w:szCs w:val="18"/>
              </w:rPr>
              <w:t>Rater</w:t>
            </w:r>
            <w:proofErr w:type="spellEnd"/>
            <w:r w:rsidRPr="00750C7A">
              <w:rPr>
                <w:rFonts w:ascii="Calibri" w:hAnsi="Calibri"/>
                <w:b/>
                <w:sz w:val="18"/>
                <w:szCs w:val="18"/>
              </w:rPr>
              <w:t xml:space="preserve"> 1</w:t>
            </w:r>
          </w:p>
          <w:p w14:paraId="0604003A" w14:textId="77777777" w:rsidR="001130C6" w:rsidRPr="00750C7A" w:rsidRDefault="001130C6" w:rsidP="0072192F">
            <w:pPr>
              <w:pStyle w:val="Tables"/>
              <w:jc w:val="center"/>
              <w:rPr>
                <w:rFonts w:asciiTheme="minorHAnsi" w:hAnsiTheme="minorHAnsi"/>
                <w:b/>
                <w:sz w:val="18"/>
                <w:szCs w:val="18"/>
              </w:rPr>
            </w:pPr>
            <w:r w:rsidRPr="00750C7A">
              <w:rPr>
                <w:rFonts w:ascii="Calibri" w:hAnsi="Calibri"/>
                <w:b/>
                <w:sz w:val="18"/>
                <w:szCs w:val="18"/>
              </w:rPr>
              <w:t>mean (SD)</w:t>
            </w:r>
          </w:p>
        </w:tc>
        <w:tc>
          <w:tcPr>
            <w:tcW w:w="1461" w:type="dxa"/>
            <w:shd w:val="clear" w:color="auto" w:fill="D9D9D9" w:themeFill="background1" w:themeFillShade="D9"/>
          </w:tcPr>
          <w:p w14:paraId="62895EED" w14:textId="77777777" w:rsidR="001130C6" w:rsidRPr="00750C7A" w:rsidRDefault="001130C6" w:rsidP="0072192F">
            <w:pPr>
              <w:pStyle w:val="Tables"/>
              <w:jc w:val="center"/>
              <w:rPr>
                <w:rFonts w:asciiTheme="minorHAnsi" w:hAnsiTheme="minorHAnsi"/>
                <w:b/>
                <w:sz w:val="18"/>
                <w:szCs w:val="18"/>
              </w:rPr>
            </w:pPr>
            <w:r w:rsidRPr="00750C7A">
              <w:rPr>
                <w:rFonts w:ascii="Calibri" w:hAnsi="Calibri"/>
                <w:b/>
                <w:sz w:val="18"/>
                <w:szCs w:val="18"/>
              </w:rPr>
              <w:t>Physiotherapist mean (SD)</w:t>
            </w:r>
          </w:p>
        </w:tc>
        <w:tc>
          <w:tcPr>
            <w:tcW w:w="1403" w:type="dxa"/>
            <w:shd w:val="clear" w:color="auto" w:fill="D9D9D9" w:themeFill="background1" w:themeFillShade="D9"/>
          </w:tcPr>
          <w:p w14:paraId="4B0B8A3B" w14:textId="77777777" w:rsidR="001130C6" w:rsidRPr="00750C7A" w:rsidRDefault="001130C6" w:rsidP="0072192F">
            <w:pPr>
              <w:pStyle w:val="Tables"/>
              <w:jc w:val="center"/>
              <w:rPr>
                <w:rFonts w:ascii="Calibri" w:hAnsi="Calibri"/>
                <w:b/>
                <w:sz w:val="18"/>
                <w:szCs w:val="18"/>
              </w:rPr>
            </w:pPr>
          </w:p>
        </w:tc>
        <w:tc>
          <w:tcPr>
            <w:tcW w:w="1615" w:type="dxa"/>
            <w:shd w:val="clear" w:color="auto" w:fill="D9D9D9" w:themeFill="background1" w:themeFillShade="D9"/>
          </w:tcPr>
          <w:p w14:paraId="14C2D500" w14:textId="77777777" w:rsidR="001130C6" w:rsidRPr="00750C7A" w:rsidRDefault="001130C6" w:rsidP="0072192F">
            <w:pPr>
              <w:pStyle w:val="Tables"/>
              <w:jc w:val="center"/>
              <w:rPr>
                <w:rFonts w:asciiTheme="minorHAnsi" w:hAnsiTheme="minorHAnsi"/>
                <w:b/>
                <w:sz w:val="18"/>
                <w:szCs w:val="18"/>
              </w:rPr>
            </w:pPr>
            <w:r w:rsidRPr="00750C7A">
              <w:rPr>
                <w:rFonts w:ascii="Calibri" w:hAnsi="Calibri"/>
                <w:b/>
                <w:sz w:val="18"/>
                <w:szCs w:val="18"/>
              </w:rPr>
              <w:t>ICC</w:t>
            </w:r>
            <w:r w:rsidRPr="00750C7A">
              <w:rPr>
                <w:rFonts w:ascii="Calibri" w:hAnsi="Calibri"/>
                <w:b/>
                <w:sz w:val="18"/>
                <w:szCs w:val="18"/>
                <w:vertAlign w:val="subscript"/>
              </w:rPr>
              <w:t>(2,1)</w:t>
            </w:r>
          </w:p>
        </w:tc>
      </w:tr>
      <w:tr w:rsidR="001130C6" w:rsidRPr="00750C7A" w14:paraId="4486A561" w14:textId="77777777" w:rsidTr="001130C6">
        <w:tc>
          <w:tcPr>
            <w:tcW w:w="3114" w:type="dxa"/>
            <w:shd w:val="clear" w:color="auto" w:fill="auto"/>
          </w:tcPr>
          <w:p w14:paraId="6054A052" w14:textId="77777777" w:rsidR="001130C6" w:rsidRPr="00750C7A" w:rsidRDefault="001130C6" w:rsidP="0072192F">
            <w:pPr>
              <w:pStyle w:val="Tables"/>
              <w:rPr>
                <w:rFonts w:ascii="Calibri" w:hAnsi="Calibri"/>
                <w:b/>
                <w:sz w:val="18"/>
                <w:szCs w:val="18"/>
              </w:rPr>
            </w:pPr>
            <w:r>
              <w:rPr>
                <w:rFonts w:ascii="Calibri" w:hAnsi="Calibri"/>
                <w:b/>
                <w:sz w:val="18"/>
                <w:szCs w:val="18"/>
              </w:rPr>
              <w:t>S-</w:t>
            </w:r>
            <w:proofErr w:type="spellStart"/>
            <w:r>
              <w:rPr>
                <w:rFonts w:ascii="Calibri" w:hAnsi="Calibri"/>
                <w:b/>
                <w:sz w:val="18"/>
                <w:szCs w:val="18"/>
              </w:rPr>
              <w:t>FMDRS</w:t>
            </w:r>
            <w:proofErr w:type="spellEnd"/>
          </w:p>
        </w:tc>
        <w:tc>
          <w:tcPr>
            <w:tcW w:w="1423" w:type="dxa"/>
            <w:shd w:val="clear" w:color="auto" w:fill="auto"/>
          </w:tcPr>
          <w:p w14:paraId="299740A2" w14:textId="77777777" w:rsidR="001130C6" w:rsidRPr="00750C7A" w:rsidRDefault="001130C6" w:rsidP="0072192F">
            <w:pPr>
              <w:pStyle w:val="Tables"/>
              <w:jc w:val="right"/>
              <w:rPr>
                <w:rFonts w:ascii="Calibri" w:hAnsi="Calibri"/>
                <w:b/>
                <w:sz w:val="18"/>
                <w:szCs w:val="18"/>
              </w:rPr>
            </w:pPr>
          </w:p>
        </w:tc>
        <w:tc>
          <w:tcPr>
            <w:tcW w:w="1461" w:type="dxa"/>
            <w:shd w:val="clear" w:color="auto" w:fill="auto"/>
          </w:tcPr>
          <w:p w14:paraId="2A974E56" w14:textId="77777777" w:rsidR="001130C6" w:rsidRPr="00750C7A" w:rsidRDefault="001130C6" w:rsidP="0072192F">
            <w:pPr>
              <w:pStyle w:val="Tables"/>
              <w:jc w:val="right"/>
              <w:rPr>
                <w:rFonts w:ascii="Calibri" w:hAnsi="Calibri"/>
                <w:b/>
                <w:sz w:val="18"/>
                <w:szCs w:val="18"/>
              </w:rPr>
            </w:pPr>
          </w:p>
        </w:tc>
        <w:tc>
          <w:tcPr>
            <w:tcW w:w="1403" w:type="dxa"/>
          </w:tcPr>
          <w:p w14:paraId="09A4F7A9" w14:textId="77777777" w:rsidR="001130C6" w:rsidRPr="00750C7A" w:rsidRDefault="001130C6" w:rsidP="0072192F">
            <w:pPr>
              <w:pStyle w:val="Tables"/>
              <w:jc w:val="right"/>
              <w:rPr>
                <w:rFonts w:ascii="Calibri" w:hAnsi="Calibri"/>
                <w:b/>
                <w:sz w:val="18"/>
                <w:szCs w:val="18"/>
              </w:rPr>
            </w:pPr>
          </w:p>
        </w:tc>
        <w:tc>
          <w:tcPr>
            <w:tcW w:w="1615" w:type="dxa"/>
            <w:shd w:val="clear" w:color="auto" w:fill="auto"/>
          </w:tcPr>
          <w:p w14:paraId="18BDCDA3" w14:textId="77777777" w:rsidR="001130C6" w:rsidRPr="005970EE" w:rsidRDefault="001130C6" w:rsidP="0072192F">
            <w:pPr>
              <w:pStyle w:val="Tables"/>
              <w:jc w:val="right"/>
              <w:rPr>
                <w:rFonts w:ascii="Calibri" w:hAnsi="Calibri"/>
                <w:b/>
                <w:sz w:val="18"/>
                <w:szCs w:val="18"/>
              </w:rPr>
            </w:pPr>
          </w:p>
        </w:tc>
      </w:tr>
      <w:tr w:rsidR="001130C6" w:rsidRPr="00750C7A" w14:paraId="22BE42D5" w14:textId="77777777" w:rsidTr="001130C6">
        <w:tc>
          <w:tcPr>
            <w:tcW w:w="3114" w:type="dxa"/>
          </w:tcPr>
          <w:p w14:paraId="7C8358CB" w14:textId="77777777" w:rsidR="001130C6" w:rsidRPr="00750C7A" w:rsidRDefault="001130C6" w:rsidP="0072192F">
            <w:pPr>
              <w:pStyle w:val="Tables"/>
              <w:rPr>
                <w:rFonts w:asciiTheme="minorHAnsi" w:hAnsiTheme="minorHAnsi"/>
                <w:sz w:val="18"/>
                <w:szCs w:val="18"/>
              </w:rPr>
            </w:pPr>
            <w:r w:rsidRPr="00750C7A">
              <w:rPr>
                <w:rFonts w:ascii="Calibri" w:hAnsi="Calibri"/>
                <w:sz w:val="18"/>
                <w:szCs w:val="18"/>
              </w:rPr>
              <w:t>Body region score</w:t>
            </w:r>
          </w:p>
        </w:tc>
        <w:tc>
          <w:tcPr>
            <w:tcW w:w="1423" w:type="dxa"/>
          </w:tcPr>
          <w:p w14:paraId="55F26CCA" w14:textId="77777777" w:rsidR="001130C6" w:rsidRPr="00750C7A" w:rsidRDefault="001130C6" w:rsidP="0072192F">
            <w:pPr>
              <w:pStyle w:val="Tables"/>
              <w:jc w:val="right"/>
              <w:rPr>
                <w:rFonts w:asciiTheme="minorHAnsi" w:hAnsiTheme="minorHAnsi"/>
                <w:b/>
                <w:sz w:val="18"/>
                <w:szCs w:val="18"/>
              </w:rPr>
            </w:pPr>
            <w:r>
              <w:rPr>
                <w:rFonts w:ascii="Calibri" w:hAnsi="Calibri"/>
                <w:sz w:val="18"/>
                <w:szCs w:val="18"/>
              </w:rPr>
              <w:t>9.1 (6.7</w:t>
            </w:r>
            <w:r w:rsidRPr="00750C7A">
              <w:rPr>
                <w:rFonts w:ascii="Calibri" w:hAnsi="Calibri"/>
                <w:sz w:val="18"/>
                <w:szCs w:val="18"/>
              </w:rPr>
              <w:t>)</w:t>
            </w:r>
          </w:p>
        </w:tc>
        <w:tc>
          <w:tcPr>
            <w:tcW w:w="1461" w:type="dxa"/>
          </w:tcPr>
          <w:p w14:paraId="504463C3" w14:textId="77777777" w:rsidR="001130C6" w:rsidRPr="00750C7A" w:rsidRDefault="001130C6" w:rsidP="0072192F">
            <w:pPr>
              <w:pStyle w:val="Tables"/>
              <w:jc w:val="right"/>
              <w:rPr>
                <w:rFonts w:asciiTheme="minorHAnsi" w:hAnsiTheme="minorHAnsi"/>
                <w:b/>
                <w:sz w:val="18"/>
                <w:szCs w:val="18"/>
              </w:rPr>
            </w:pPr>
            <w:r>
              <w:rPr>
                <w:rFonts w:ascii="Calibri" w:hAnsi="Calibri"/>
                <w:sz w:val="18"/>
                <w:szCs w:val="18"/>
              </w:rPr>
              <w:t>9.9  (8.5</w:t>
            </w:r>
            <w:r w:rsidRPr="00750C7A">
              <w:rPr>
                <w:rFonts w:ascii="Calibri" w:hAnsi="Calibri"/>
                <w:sz w:val="18"/>
                <w:szCs w:val="18"/>
              </w:rPr>
              <w:t>)</w:t>
            </w:r>
          </w:p>
        </w:tc>
        <w:tc>
          <w:tcPr>
            <w:tcW w:w="1403" w:type="dxa"/>
          </w:tcPr>
          <w:p w14:paraId="6AB41CA2" w14:textId="77777777" w:rsidR="001130C6" w:rsidRPr="00750C7A" w:rsidRDefault="001130C6" w:rsidP="0072192F">
            <w:pPr>
              <w:pStyle w:val="Tables"/>
              <w:jc w:val="right"/>
              <w:rPr>
                <w:rFonts w:ascii="Calibri" w:hAnsi="Calibri"/>
                <w:sz w:val="18"/>
                <w:szCs w:val="18"/>
              </w:rPr>
            </w:pPr>
          </w:p>
        </w:tc>
        <w:tc>
          <w:tcPr>
            <w:tcW w:w="1615" w:type="dxa"/>
          </w:tcPr>
          <w:p w14:paraId="1ABB692A" w14:textId="77777777" w:rsidR="001130C6" w:rsidRPr="005970EE" w:rsidRDefault="001130C6" w:rsidP="0072192F">
            <w:pPr>
              <w:pStyle w:val="Tables"/>
              <w:jc w:val="right"/>
              <w:rPr>
                <w:rFonts w:asciiTheme="minorHAnsi" w:hAnsiTheme="minorHAnsi"/>
                <w:b/>
                <w:sz w:val="18"/>
                <w:szCs w:val="18"/>
              </w:rPr>
            </w:pPr>
            <w:r>
              <w:rPr>
                <w:rFonts w:ascii="Calibri" w:hAnsi="Calibri"/>
                <w:sz w:val="18"/>
                <w:szCs w:val="18"/>
              </w:rPr>
              <w:t xml:space="preserve">0.81 (0.70, </w:t>
            </w:r>
            <w:r w:rsidRPr="005970EE">
              <w:rPr>
                <w:rFonts w:ascii="Calibri" w:hAnsi="Calibri"/>
                <w:sz w:val="18"/>
                <w:szCs w:val="18"/>
              </w:rPr>
              <w:t>0.89)</w:t>
            </w:r>
          </w:p>
        </w:tc>
      </w:tr>
      <w:tr w:rsidR="001130C6" w:rsidRPr="00750C7A" w14:paraId="74BCC5B4" w14:textId="77777777" w:rsidTr="001130C6">
        <w:tc>
          <w:tcPr>
            <w:tcW w:w="3114" w:type="dxa"/>
          </w:tcPr>
          <w:p w14:paraId="78169F4C" w14:textId="77777777" w:rsidR="001130C6" w:rsidRPr="00750C7A" w:rsidRDefault="001130C6" w:rsidP="0072192F">
            <w:pPr>
              <w:pStyle w:val="Tables"/>
              <w:rPr>
                <w:rFonts w:asciiTheme="minorHAnsi" w:hAnsiTheme="minorHAnsi"/>
                <w:sz w:val="18"/>
                <w:szCs w:val="18"/>
              </w:rPr>
            </w:pPr>
            <w:r w:rsidRPr="00750C7A">
              <w:rPr>
                <w:rFonts w:ascii="Calibri" w:hAnsi="Calibri"/>
                <w:sz w:val="18"/>
                <w:szCs w:val="18"/>
              </w:rPr>
              <w:t>Function score</w:t>
            </w:r>
            <w:r>
              <w:rPr>
                <w:rFonts w:ascii="Calibri" w:hAnsi="Calibri"/>
                <w:sz w:val="18"/>
                <w:szCs w:val="18"/>
              </w:rPr>
              <w:t xml:space="preserve"> (gait &amp; speech)</w:t>
            </w:r>
          </w:p>
        </w:tc>
        <w:tc>
          <w:tcPr>
            <w:tcW w:w="1423" w:type="dxa"/>
            <w:tcBorders>
              <w:bottom w:val="single" w:sz="4" w:space="0" w:color="auto"/>
            </w:tcBorders>
          </w:tcPr>
          <w:p w14:paraId="16EA101C" w14:textId="77777777" w:rsidR="001130C6" w:rsidRPr="00750C7A" w:rsidRDefault="001130C6" w:rsidP="0072192F">
            <w:pPr>
              <w:pStyle w:val="Tables"/>
              <w:jc w:val="right"/>
              <w:rPr>
                <w:rFonts w:asciiTheme="minorHAnsi" w:hAnsiTheme="minorHAnsi"/>
                <w:b/>
                <w:sz w:val="18"/>
                <w:szCs w:val="18"/>
              </w:rPr>
            </w:pPr>
            <w:r>
              <w:rPr>
                <w:rFonts w:ascii="Calibri" w:hAnsi="Calibri"/>
                <w:sz w:val="18"/>
                <w:szCs w:val="18"/>
              </w:rPr>
              <w:t>4.3 (2.8</w:t>
            </w:r>
            <w:r w:rsidRPr="00750C7A">
              <w:rPr>
                <w:rFonts w:ascii="Calibri" w:hAnsi="Calibri"/>
                <w:sz w:val="18"/>
                <w:szCs w:val="18"/>
              </w:rPr>
              <w:t>)</w:t>
            </w:r>
          </w:p>
        </w:tc>
        <w:tc>
          <w:tcPr>
            <w:tcW w:w="1461" w:type="dxa"/>
            <w:tcBorders>
              <w:bottom w:val="single" w:sz="4" w:space="0" w:color="auto"/>
            </w:tcBorders>
          </w:tcPr>
          <w:p w14:paraId="2C78D26C" w14:textId="77777777" w:rsidR="001130C6" w:rsidRPr="00750C7A" w:rsidRDefault="001130C6" w:rsidP="0072192F">
            <w:pPr>
              <w:pStyle w:val="Tables"/>
              <w:jc w:val="right"/>
              <w:rPr>
                <w:rFonts w:asciiTheme="minorHAnsi" w:hAnsiTheme="minorHAnsi"/>
                <w:b/>
                <w:sz w:val="18"/>
                <w:szCs w:val="18"/>
              </w:rPr>
            </w:pPr>
            <w:r>
              <w:rPr>
                <w:rFonts w:ascii="Calibri" w:hAnsi="Calibri"/>
                <w:sz w:val="18"/>
                <w:szCs w:val="18"/>
              </w:rPr>
              <w:t xml:space="preserve"> 4.3  (2.9</w:t>
            </w:r>
            <w:r w:rsidRPr="00750C7A">
              <w:rPr>
                <w:rFonts w:ascii="Calibri" w:hAnsi="Calibri"/>
                <w:sz w:val="18"/>
                <w:szCs w:val="18"/>
              </w:rPr>
              <w:t>)</w:t>
            </w:r>
          </w:p>
        </w:tc>
        <w:tc>
          <w:tcPr>
            <w:tcW w:w="1403" w:type="dxa"/>
            <w:tcBorders>
              <w:bottom w:val="single" w:sz="4" w:space="0" w:color="auto"/>
            </w:tcBorders>
          </w:tcPr>
          <w:p w14:paraId="322D4151" w14:textId="77777777" w:rsidR="001130C6" w:rsidRPr="00750C7A" w:rsidRDefault="001130C6" w:rsidP="0072192F">
            <w:pPr>
              <w:pStyle w:val="Tables"/>
              <w:jc w:val="right"/>
              <w:rPr>
                <w:rFonts w:ascii="Calibri" w:hAnsi="Calibri"/>
                <w:sz w:val="18"/>
                <w:szCs w:val="18"/>
              </w:rPr>
            </w:pPr>
          </w:p>
        </w:tc>
        <w:tc>
          <w:tcPr>
            <w:tcW w:w="1615" w:type="dxa"/>
            <w:tcBorders>
              <w:bottom w:val="single" w:sz="4" w:space="0" w:color="auto"/>
            </w:tcBorders>
          </w:tcPr>
          <w:p w14:paraId="0D2F903A" w14:textId="77777777" w:rsidR="001130C6" w:rsidRPr="005970EE" w:rsidRDefault="001130C6" w:rsidP="0072192F">
            <w:pPr>
              <w:pStyle w:val="Tables"/>
              <w:jc w:val="right"/>
              <w:rPr>
                <w:rFonts w:asciiTheme="minorHAnsi" w:hAnsiTheme="minorHAnsi"/>
                <w:b/>
                <w:sz w:val="18"/>
                <w:szCs w:val="18"/>
              </w:rPr>
            </w:pPr>
            <w:r w:rsidRPr="005970EE">
              <w:rPr>
                <w:rFonts w:ascii="Calibri" w:hAnsi="Calibri"/>
                <w:sz w:val="18"/>
                <w:szCs w:val="18"/>
              </w:rPr>
              <w:t>0.93 (0.88</w:t>
            </w:r>
            <w:r>
              <w:rPr>
                <w:rFonts w:ascii="Calibri" w:hAnsi="Calibri"/>
                <w:sz w:val="18"/>
                <w:szCs w:val="18"/>
              </w:rPr>
              <w:t xml:space="preserve">, </w:t>
            </w:r>
            <w:r w:rsidRPr="005970EE">
              <w:rPr>
                <w:rFonts w:ascii="Calibri" w:hAnsi="Calibri"/>
                <w:sz w:val="18"/>
                <w:szCs w:val="18"/>
              </w:rPr>
              <w:t>0.96)</w:t>
            </w:r>
          </w:p>
        </w:tc>
      </w:tr>
      <w:tr w:rsidR="001130C6" w:rsidRPr="00750C7A" w14:paraId="61DF24A8" w14:textId="77777777" w:rsidTr="001130C6">
        <w:tc>
          <w:tcPr>
            <w:tcW w:w="3114" w:type="dxa"/>
            <w:tcBorders>
              <w:bottom w:val="single" w:sz="4" w:space="0" w:color="auto"/>
            </w:tcBorders>
          </w:tcPr>
          <w:p w14:paraId="08F972EB" w14:textId="77777777" w:rsidR="001130C6" w:rsidRPr="00750C7A" w:rsidRDefault="001130C6" w:rsidP="0072192F">
            <w:pPr>
              <w:pStyle w:val="Tables"/>
              <w:rPr>
                <w:rFonts w:asciiTheme="minorHAnsi" w:hAnsiTheme="minorHAnsi"/>
                <w:sz w:val="18"/>
                <w:szCs w:val="18"/>
              </w:rPr>
            </w:pPr>
            <w:r w:rsidRPr="00750C7A">
              <w:rPr>
                <w:rFonts w:ascii="Calibri" w:hAnsi="Calibri"/>
                <w:sz w:val="18"/>
                <w:szCs w:val="18"/>
              </w:rPr>
              <w:t>Total Score</w:t>
            </w:r>
          </w:p>
        </w:tc>
        <w:tc>
          <w:tcPr>
            <w:tcW w:w="1423" w:type="dxa"/>
          </w:tcPr>
          <w:p w14:paraId="64BA63D5" w14:textId="77777777" w:rsidR="001130C6" w:rsidRPr="00750C7A" w:rsidRDefault="001130C6" w:rsidP="0072192F">
            <w:pPr>
              <w:pStyle w:val="Tables"/>
              <w:jc w:val="right"/>
              <w:rPr>
                <w:rFonts w:asciiTheme="minorHAnsi" w:hAnsiTheme="minorHAnsi"/>
                <w:b/>
                <w:sz w:val="18"/>
                <w:szCs w:val="18"/>
              </w:rPr>
            </w:pPr>
            <w:r>
              <w:rPr>
                <w:rFonts w:ascii="Calibri" w:hAnsi="Calibri"/>
                <w:sz w:val="18"/>
                <w:szCs w:val="18"/>
              </w:rPr>
              <w:t>13.4 (8.5</w:t>
            </w:r>
            <w:r w:rsidRPr="00750C7A">
              <w:rPr>
                <w:rFonts w:ascii="Calibri" w:hAnsi="Calibri"/>
                <w:sz w:val="18"/>
                <w:szCs w:val="18"/>
              </w:rPr>
              <w:t>)</w:t>
            </w:r>
          </w:p>
        </w:tc>
        <w:tc>
          <w:tcPr>
            <w:tcW w:w="1461" w:type="dxa"/>
            <w:tcBorders>
              <w:bottom w:val="single" w:sz="4" w:space="0" w:color="auto"/>
            </w:tcBorders>
          </w:tcPr>
          <w:p w14:paraId="5D94C0A3" w14:textId="77777777" w:rsidR="001130C6" w:rsidRPr="00750C7A" w:rsidRDefault="001130C6" w:rsidP="0072192F">
            <w:pPr>
              <w:pStyle w:val="Tables"/>
              <w:jc w:val="right"/>
              <w:rPr>
                <w:rFonts w:asciiTheme="minorHAnsi" w:hAnsiTheme="minorHAnsi"/>
                <w:b/>
                <w:sz w:val="18"/>
                <w:szCs w:val="18"/>
              </w:rPr>
            </w:pPr>
            <w:r>
              <w:rPr>
                <w:rFonts w:ascii="Calibri" w:hAnsi="Calibri"/>
                <w:sz w:val="18"/>
                <w:szCs w:val="18"/>
              </w:rPr>
              <w:t xml:space="preserve"> 14.2 (10.6</w:t>
            </w:r>
            <w:r w:rsidRPr="00750C7A">
              <w:rPr>
                <w:rFonts w:ascii="Calibri" w:hAnsi="Calibri"/>
                <w:sz w:val="18"/>
                <w:szCs w:val="18"/>
              </w:rPr>
              <w:t>)</w:t>
            </w:r>
          </w:p>
        </w:tc>
        <w:tc>
          <w:tcPr>
            <w:tcW w:w="1403" w:type="dxa"/>
            <w:tcBorders>
              <w:bottom w:val="single" w:sz="4" w:space="0" w:color="auto"/>
            </w:tcBorders>
          </w:tcPr>
          <w:p w14:paraId="2EAF1A63" w14:textId="77777777" w:rsidR="001130C6" w:rsidRPr="00750C7A" w:rsidRDefault="001130C6" w:rsidP="0072192F">
            <w:pPr>
              <w:pStyle w:val="Tables"/>
              <w:jc w:val="right"/>
              <w:rPr>
                <w:rFonts w:ascii="Calibri" w:hAnsi="Calibri"/>
                <w:sz w:val="18"/>
                <w:szCs w:val="18"/>
              </w:rPr>
            </w:pPr>
          </w:p>
        </w:tc>
        <w:tc>
          <w:tcPr>
            <w:tcW w:w="1615" w:type="dxa"/>
            <w:tcBorders>
              <w:bottom w:val="single" w:sz="4" w:space="0" w:color="auto"/>
            </w:tcBorders>
          </w:tcPr>
          <w:p w14:paraId="0E941465" w14:textId="77777777" w:rsidR="001130C6" w:rsidRPr="005970EE" w:rsidRDefault="001130C6" w:rsidP="0072192F">
            <w:pPr>
              <w:pStyle w:val="Tables"/>
              <w:jc w:val="right"/>
              <w:rPr>
                <w:rFonts w:asciiTheme="minorHAnsi" w:hAnsiTheme="minorHAnsi"/>
                <w:b/>
                <w:sz w:val="18"/>
                <w:szCs w:val="18"/>
              </w:rPr>
            </w:pPr>
            <w:r w:rsidRPr="005970EE">
              <w:rPr>
                <w:rFonts w:ascii="Calibri" w:hAnsi="Calibri"/>
                <w:sz w:val="18"/>
                <w:szCs w:val="18"/>
              </w:rPr>
              <w:t>0.85 (0.76</w:t>
            </w:r>
            <w:r>
              <w:rPr>
                <w:rFonts w:ascii="Calibri" w:hAnsi="Calibri"/>
                <w:sz w:val="18"/>
                <w:szCs w:val="18"/>
              </w:rPr>
              <w:t xml:space="preserve">, </w:t>
            </w:r>
            <w:r w:rsidRPr="005970EE">
              <w:rPr>
                <w:rFonts w:ascii="Calibri" w:hAnsi="Calibri"/>
                <w:sz w:val="18"/>
                <w:szCs w:val="18"/>
              </w:rPr>
              <w:t>0.91)</w:t>
            </w:r>
          </w:p>
        </w:tc>
      </w:tr>
      <w:tr w:rsidR="001130C6" w:rsidRPr="00750C7A" w14:paraId="2B927BF1" w14:textId="77777777" w:rsidTr="001130C6">
        <w:tc>
          <w:tcPr>
            <w:tcW w:w="3114" w:type="dxa"/>
            <w:shd w:val="clear" w:color="auto" w:fill="D9D9D9" w:themeFill="background1" w:themeFillShade="D9"/>
          </w:tcPr>
          <w:p w14:paraId="488E2330" w14:textId="77777777" w:rsidR="001130C6" w:rsidRPr="00750C7A" w:rsidRDefault="001130C6" w:rsidP="0072192F">
            <w:pPr>
              <w:pStyle w:val="Tables"/>
              <w:jc w:val="center"/>
              <w:rPr>
                <w:rFonts w:asciiTheme="minorHAnsi" w:hAnsiTheme="minorHAnsi"/>
                <w:sz w:val="18"/>
                <w:szCs w:val="18"/>
              </w:rPr>
            </w:pPr>
          </w:p>
        </w:tc>
        <w:tc>
          <w:tcPr>
            <w:tcW w:w="1423" w:type="dxa"/>
            <w:shd w:val="clear" w:color="auto" w:fill="D9D9D9" w:themeFill="background1" w:themeFillShade="D9"/>
          </w:tcPr>
          <w:p w14:paraId="0FE8C055" w14:textId="77777777" w:rsidR="001130C6" w:rsidRPr="00750C7A" w:rsidRDefault="001130C6" w:rsidP="0072192F">
            <w:pPr>
              <w:pStyle w:val="Tables"/>
              <w:jc w:val="center"/>
              <w:rPr>
                <w:rFonts w:asciiTheme="minorHAnsi" w:hAnsiTheme="minorHAnsi"/>
                <w:b/>
                <w:sz w:val="18"/>
                <w:szCs w:val="18"/>
              </w:rPr>
            </w:pPr>
            <w:proofErr w:type="spellStart"/>
            <w:r w:rsidRPr="00750C7A">
              <w:rPr>
                <w:rFonts w:asciiTheme="minorHAnsi" w:hAnsiTheme="minorHAnsi"/>
                <w:b/>
                <w:sz w:val="18"/>
                <w:szCs w:val="18"/>
              </w:rPr>
              <w:t>Rater</w:t>
            </w:r>
            <w:proofErr w:type="spellEnd"/>
            <w:r w:rsidRPr="00750C7A">
              <w:rPr>
                <w:rFonts w:asciiTheme="minorHAnsi" w:hAnsiTheme="minorHAnsi"/>
                <w:b/>
                <w:sz w:val="18"/>
                <w:szCs w:val="18"/>
              </w:rPr>
              <w:t xml:space="preserve"> 1, No. observations</w:t>
            </w:r>
          </w:p>
        </w:tc>
        <w:tc>
          <w:tcPr>
            <w:tcW w:w="1461" w:type="dxa"/>
            <w:shd w:val="clear" w:color="auto" w:fill="D9D9D9" w:themeFill="background1" w:themeFillShade="D9"/>
          </w:tcPr>
          <w:p w14:paraId="6F2732D3" w14:textId="77777777" w:rsidR="001130C6" w:rsidRPr="00750C7A" w:rsidRDefault="001130C6" w:rsidP="0072192F">
            <w:pPr>
              <w:pStyle w:val="Tables"/>
              <w:jc w:val="center"/>
              <w:rPr>
                <w:rFonts w:asciiTheme="minorHAnsi" w:hAnsiTheme="minorHAnsi"/>
                <w:b/>
                <w:sz w:val="18"/>
                <w:szCs w:val="18"/>
              </w:rPr>
            </w:pPr>
            <w:proofErr w:type="spellStart"/>
            <w:r w:rsidRPr="00750C7A">
              <w:rPr>
                <w:rFonts w:asciiTheme="minorHAnsi" w:hAnsiTheme="minorHAnsi"/>
                <w:b/>
                <w:sz w:val="18"/>
                <w:szCs w:val="18"/>
              </w:rPr>
              <w:t>Rater</w:t>
            </w:r>
            <w:proofErr w:type="spellEnd"/>
            <w:r w:rsidRPr="00750C7A">
              <w:rPr>
                <w:rFonts w:asciiTheme="minorHAnsi" w:hAnsiTheme="minorHAnsi"/>
                <w:b/>
                <w:sz w:val="18"/>
                <w:szCs w:val="18"/>
              </w:rPr>
              <w:t xml:space="preserve"> 2, No. observations</w:t>
            </w:r>
          </w:p>
        </w:tc>
        <w:tc>
          <w:tcPr>
            <w:tcW w:w="1403" w:type="dxa"/>
            <w:shd w:val="clear" w:color="auto" w:fill="D9D9D9" w:themeFill="background1" w:themeFillShade="D9"/>
          </w:tcPr>
          <w:p w14:paraId="4DD5C076" w14:textId="77777777" w:rsidR="001130C6" w:rsidRPr="00750C7A" w:rsidRDefault="001130C6" w:rsidP="0072192F">
            <w:pPr>
              <w:pStyle w:val="Tables"/>
              <w:jc w:val="center"/>
              <w:rPr>
                <w:rFonts w:asciiTheme="minorHAnsi" w:hAnsiTheme="minorHAnsi"/>
                <w:b/>
                <w:sz w:val="18"/>
                <w:szCs w:val="18"/>
              </w:rPr>
            </w:pPr>
            <w:proofErr w:type="spellStart"/>
            <w:r>
              <w:rPr>
                <w:rFonts w:asciiTheme="minorHAnsi" w:hAnsiTheme="minorHAnsi"/>
                <w:b/>
                <w:sz w:val="18"/>
                <w:szCs w:val="18"/>
              </w:rPr>
              <w:t>Rater</w:t>
            </w:r>
            <w:proofErr w:type="spellEnd"/>
            <w:r>
              <w:rPr>
                <w:rFonts w:asciiTheme="minorHAnsi" w:hAnsiTheme="minorHAnsi"/>
                <w:b/>
                <w:sz w:val="18"/>
                <w:szCs w:val="18"/>
              </w:rPr>
              <w:t xml:space="preserve"> 3, No. observations</w:t>
            </w:r>
          </w:p>
        </w:tc>
        <w:tc>
          <w:tcPr>
            <w:tcW w:w="1615" w:type="dxa"/>
            <w:shd w:val="clear" w:color="auto" w:fill="D9D9D9" w:themeFill="background1" w:themeFillShade="D9"/>
          </w:tcPr>
          <w:p w14:paraId="1C4559CB" w14:textId="77777777" w:rsidR="001130C6" w:rsidRPr="00750C7A" w:rsidRDefault="001130C6" w:rsidP="0072192F">
            <w:pPr>
              <w:pStyle w:val="Tables"/>
              <w:jc w:val="center"/>
              <w:rPr>
                <w:rFonts w:asciiTheme="minorHAnsi" w:hAnsiTheme="minorHAnsi"/>
                <w:b/>
                <w:sz w:val="18"/>
                <w:szCs w:val="18"/>
              </w:rPr>
            </w:pPr>
            <w:r w:rsidRPr="00750C7A">
              <w:rPr>
                <w:rFonts w:asciiTheme="minorHAnsi" w:hAnsiTheme="minorHAnsi"/>
                <w:b/>
                <w:sz w:val="18"/>
                <w:szCs w:val="18"/>
              </w:rPr>
              <w:t>kappa (95% CI)</w:t>
            </w:r>
          </w:p>
        </w:tc>
      </w:tr>
      <w:tr w:rsidR="001130C6" w:rsidRPr="00750C7A" w14:paraId="3E8501B9" w14:textId="77777777" w:rsidTr="001130C6">
        <w:tc>
          <w:tcPr>
            <w:tcW w:w="3114" w:type="dxa"/>
          </w:tcPr>
          <w:p w14:paraId="2DA9930F" w14:textId="77777777" w:rsidR="001130C6" w:rsidRPr="00750C7A" w:rsidRDefault="001130C6" w:rsidP="0072192F">
            <w:pPr>
              <w:pStyle w:val="Tables"/>
              <w:rPr>
                <w:rFonts w:asciiTheme="minorHAnsi" w:hAnsiTheme="minorHAnsi"/>
                <w:b/>
                <w:sz w:val="18"/>
                <w:szCs w:val="18"/>
              </w:rPr>
            </w:pPr>
            <w:r w:rsidRPr="00750C7A">
              <w:rPr>
                <w:rFonts w:asciiTheme="minorHAnsi" w:hAnsiTheme="minorHAnsi"/>
                <w:b/>
                <w:sz w:val="18"/>
                <w:szCs w:val="18"/>
              </w:rPr>
              <w:t>Phenomenology (</w:t>
            </w:r>
            <w:proofErr w:type="spellStart"/>
            <w:r w:rsidRPr="00750C7A">
              <w:rPr>
                <w:rFonts w:asciiTheme="minorHAnsi" w:hAnsiTheme="minorHAnsi"/>
                <w:b/>
                <w:sz w:val="18"/>
                <w:szCs w:val="18"/>
              </w:rPr>
              <w:t>PMDRS</w:t>
            </w:r>
            <w:proofErr w:type="spellEnd"/>
            <w:r w:rsidRPr="00750C7A">
              <w:rPr>
                <w:rFonts w:asciiTheme="minorHAnsi" w:hAnsiTheme="minorHAnsi"/>
                <w:b/>
                <w:sz w:val="18"/>
                <w:szCs w:val="18"/>
              </w:rPr>
              <w:t>)</w:t>
            </w:r>
          </w:p>
        </w:tc>
        <w:tc>
          <w:tcPr>
            <w:tcW w:w="1423" w:type="dxa"/>
          </w:tcPr>
          <w:p w14:paraId="5D7B7D5D" w14:textId="77777777" w:rsidR="001130C6" w:rsidRPr="00750C7A" w:rsidRDefault="001130C6" w:rsidP="0072192F">
            <w:pPr>
              <w:pStyle w:val="Tables"/>
              <w:rPr>
                <w:rFonts w:asciiTheme="minorHAnsi" w:hAnsiTheme="minorHAnsi"/>
                <w:sz w:val="18"/>
                <w:szCs w:val="18"/>
              </w:rPr>
            </w:pPr>
          </w:p>
        </w:tc>
        <w:tc>
          <w:tcPr>
            <w:tcW w:w="1461" w:type="dxa"/>
          </w:tcPr>
          <w:p w14:paraId="65854D99" w14:textId="77777777" w:rsidR="001130C6" w:rsidRPr="00750C7A" w:rsidRDefault="001130C6" w:rsidP="0072192F">
            <w:pPr>
              <w:pStyle w:val="Tables"/>
              <w:rPr>
                <w:rFonts w:asciiTheme="minorHAnsi" w:hAnsiTheme="minorHAnsi"/>
                <w:sz w:val="18"/>
                <w:szCs w:val="18"/>
              </w:rPr>
            </w:pPr>
          </w:p>
        </w:tc>
        <w:tc>
          <w:tcPr>
            <w:tcW w:w="1403" w:type="dxa"/>
          </w:tcPr>
          <w:p w14:paraId="45FEC73D" w14:textId="77777777" w:rsidR="001130C6" w:rsidRPr="00750C7A" w:rsidRDefault="001130C6" w:rsidP="0072192F">
            <w:pPr>
              <w:pStyle w:val="Tables"/>
              <w:rPr>
                <w:rFonts w:asciiTheme="minorHAnsi" w:hAnsiTheme="minorHAnsi"/>
                <w:sz w:val="18"/>
                <w:szCs w:val="18"/>
              </w:rPr>
            </w:pPr>
          </w:p>
        </w:tc>
        <w:tc>
          <w:tcPr>
            <w:tcW w:w="1615" w:type="dxa"/>
          </w:tcPr>
          <w:p w14:paraId="5A2E5523" w14:textId="77777777" w:rsidR="001130C6" w:rsidRPr="00750C7A" w:rsidRDefault="001130C6" w:rsidP="0072192F">
            <w:pPr>
              <w:pStyle w:val="Tables"/>
              <w:rPr>
                <w:rFonts w:asciiTheme="minorHAnsi" w:hAnsiTheme="minorHAnsi"/>
                <w:sz w:val="18"/>
                <w:szCs w:val="18"/>
              </w:rPr>
            </w:pPr>
          </w:p>
        </w:tc>
      </w:tr>
      <w:tr w:rsidR="001130C6" w:rsidRPr="00750C7A" w14:paraId="082E97F4" w14:textId="77777777" w:rsidTr="001130C6">
        <w:tc>
          <w:tcPr>
            <w:tcW w:w="3114" w:type="dxa"/>
          </w:tcPr>
          <w:p w14:paraId="0F9FE02A" w14:textId="77777777" w:rsidR="001130C6" w:rsidRPr="00750C7A" w:rsidRDefault="001130C6" w:rsidP="0072192F">
            <w:pPr>
              <w:pStyle w:val="Tables"/>
              <w:rPr>
                <w:rFonts w:asciiTheme="minorHAnsi" w:hAnsiTheme="minorHAnsi"/>
                <w:sz w:val="18"/>
                <w:szCs w:val="18"/>
              </w:rPr>
            </w:pPr>
            <w:r w:rsidRPr="00750C7A">
              <w:rPr>
                <w:rFonts w:asciiTheme="minorHAnsi" w:hAnsiTheme="minorHAnsi"/>
                <w:sz w:val="18"/>
                <w:szCs w:val="18"/>
              </w:rPr>
              <w:t>Resting tremor</w:t>
            </w:r>
          </w:p>
        </w:tc>
        <w:tc>
          <w:tcPr>
            <w:tcW w:w="1423" w:type="dxa"/>
          </w:tcPr>
          <w:p w14:paraId="03676974" w14:textId="77777777" w:rsidR="001130C6" w:rsidRPr="00B003C5" w:rsidRDefault="001130C6" w:rsidP="0072192F">
            <w:pPr>
              <w:pStyle w:val="Tables"/>
              <w:jc w:val="right"/>
              <w:rPr>
                <w:rFonts w:asciiTheme="minorHAnsi" w:hAnsiTheme="minorHAnsi"/>
                <w:color w:val="000000" w:themeColor="text1"/>
                <w:sz w:val="18"/>
                <w:szCs w:val="18"/>
              </w:rPr>
            </w:pPr>
            <w:r w:rsidRPr="00B003C5">
              <w:rPr>
                <w:rFonts w:asciiTheme="minorHAnsi" w:hAnsiTheme="minorHAnsi"/>
                <w:color w:val="000000" w:themeColor="text1"/>
                <w:sz w:val="18"/>
                <w:szCs w:val="18"/>
              </w:rPr>
              <w:t>21</w:t>
            </w:r>
          </w:p>
        </w:tc>
        <w:tc>
          <w:tcPr>
            <w:tcW w:w="1461" w:type="dxa"/>
          </w:tcPr>
          <w:p w14:paraId="3145317A" w14:textId="77777777" w:rsidR="001130C6" w:rsidRPr="00B003C5" w:rsidRDefault="001130C6" w:rsidP="0072192F">
            <w:pPr>
              <w:pStyle w:val="Tables"/>
              <w:jc w:val="right"/>
              <w:rPr>
                <w:rFonts w:asciiTheme="minorHAnsi" w:hAnsiTheme="minorHAnsi"/>
                <w:color w:val="000000" w:themeColor="text1"/>
                <w:sz w:val="18"/>
                <w:szCs w:val="18"/>
              </w:rPr>
            </w:pPr>
            <w:r w:rsidRPr="00B003C5">
              <w:rPr>
                <w:rFonts w:asciiTheme="minorHAnsi" w:hAnsiTheme="minorHAnsi"/>
                <w:color w:val="000000" w:themeColor="text1"/>
                <w:sz w:val="18"/>
                <w:szCs w:val="18"/>
              </w:rPr>
              <w:t>16</w:t>
            </w:r>
          </w:p>
        </w:tc>
        <w:tc>
          <w:tcPr>
            <w:tcW w:w="1403" w:type="dxa"/>
          </w:tcPr>
          <w:p w14:paraId="4687E0D9" w14:textId="77777777" w:rsidR="001130C6" w:rsidRPr="00B003C5" w:rsidRDefault="001130C6" w:rsidP="0072192F">
            <w:pPr>
              <w:pStyle w:val="Tables"/>
              <w:jc w:val="right"/>
              <w:rPr>
                <w:rFonts w:asciiTheme="minorHAnsi" w:hAnsiTheme="minorHAnsi"/>
                <w:color w:val="000000" w:themeColor="text1"/>
                <w:sz w:val="18"/>
                <w:szCs w:val="18"/>
              </w:rPr>
            </w:pPr>
            <w:r w:rsidRPr="00B003C5">
              <w:rPr>
                <w:rFonts w:asciiTheme="minorHAnsi" w:hAnsiTheme="minorHAnsi"/>
                <w:color w:val="000000" w:themeColor="text1"/>
                <w:sz w:val="18"/>
                <w:szCs w:val="18"/>
              </w:rPr>
              <w:t>16</w:t>
            </w:r>
          </w:p>
        </w:tc>
        <w:tc>
          <w:tcPr>
            <w:tcW w:w="1615" w:type="dxa"/>
          </w:tcPr>
          <w:p w14:paraId="65C9C244" w14:textId="77777777" w:rsidR="001130C6" w:rsidRPr="00B003C5" w:rsidRDefault="001130C6" w:rsidP="0072192F">
            <w:pPr>
              <w:pStyle w:val="Tables"/>
              <w:jc w:val="right"/>
              <w:rPr>
                <w:rFonts w:asciiTheme="minorHAnsi" w:hAnsiTheme="minorHAnsi"/>
                <w:color w:val="000000" w:themeColor="text1"/>
                <w:sz w:val="18"/>
                <w:szCs w:val="18"/>
              </w:rPr>
            </w:pPr>
            <w:r w:rsidRPr="00B003C5">
              <w:rPr>
                <w:rFonts w:asciiTheme="minorHAnsi" w:hAnsiTheme="minorHAnsi"/>
                <w:color w:val="000000" w:themeColor="text1"/>
                <w:sz w:val="18"/>
                <w:szCs w:val="18"/>
              </w:rPr>
              <w:t xml:space="preserve">0.80 (0.73, 0.87) </w:t>
            </w:r>
          </w:p>
        </w:tc>
      </w:tr>
      <w:tr w:rsidR="001130C6" w:rsidRPr="00750C7A" w14:paraId="6A4A1190" w14:textId="77777777" w:rsidTr="001130C6">
        <w:tc>
          <w:tcPr>
            <w:tcW w:w="3114" w:type="dxa"/>
          </w:tcPr>
          <w:p w14:paraId="7E8818AB" w14:textId="77777777" w:rsidR="001130C6" w:rsidRPr="00750C7A" w:rsidRDefault="001130C6" w:rsidP="0072192F">
            <w:pPr>
              <w:pStyle w:val="Tables"/>
              <w:rPr>
                <w:rFonts w:asciiTheme="minorHAnsi" w:hAnsiTheme="minorHAnsi"/>
                <w:sz w:val="18"/>
                <w:szCs w:val="18"/>
              </w:rPr>
            </w:pPr>
            <w:r w:rsidRPr="00750C7A">
              <w:rPr>
                <w:rFonts w:asciiTheme="minorHAnsi" w:hAnsiTheme="minorHAnsi"/>
                <w:sz w:val="18"/>
                <w:szCs w:val="18"/>
              </w:rPr>
              <w:t>Action tremor</w:t>
            </w:r>
          </w:p>
        </w:tc>
        <w:tc>
          <w:tcPr>
            <w:tcW w:w="1423" w:type="dxa"/>
          </w:tcPr>
          <w:p w14:paraId="46275EB1" w14:textId="77777777" w:rsidR="001130C6" w:rsidRPr="00B003C5" w:rsidRDefault="001130C6" w:rsidP="0072192F">
            <w:pPr>
              <w:pStyle w:val="Tables"/>
              <w:jc w:val="right"/>
              <w:rPr>
                <w:rFonts w:asciiTheme="minorHAnsi" w:hAnsiTheme="minorHAnsi"/>
                <w:color w:val="000000" w:themeColor="text1"/>
                <w:sz w:val="18"/>
                <w:szCs w:val="18"/>
              </w:rPr>
            </w:pPr>
            <w:r w:rsidRPr="00B003C5">
              <w:rPr>
                <w:rFonts w:asciiTheme="minorHAnsi" w:hAnsiTheme="minorHAnsi"/>
                <w:color w:val="000000" w:themeColor="text1"/>
                <w:sz w:val="18"/>
                <w:szCs w:val="18"/>
              </w:rPr>
              <w:t>24</w:t>
            </w:r>
          </w:p>
        </w:tc>
        <w:tc>
          <w:tcPr>
            <w:tcW w:w="1461" w:type="dxa"/>
          </w:tcPr>
          <w:p w14:paraId="6F688ED4" w14:textId="77777777" w:rsidR="001130C6" w:rsidRPr="00B003C5" w:rsidRDefault="001130C6" w:rsidP="0072192F">
            <w:pPr>
              <w:pStyle w:val="Tables"/>
              <w:jc w:val="right"/>
              <w:rPr>
                <w:rFonts w:asciiTheme="minorHAnsi" w:hAnsiTheme="minorHAnsi"/>
                <w:color w:val="000000" w:themeColor="text1"/>
                <w:sz w:val="18"/>
                <w:szCs w:val="18"/>
              </w:rPr>
            </w:pPr>
            <w:r w:rsidRPr="00B003C5">
              <w:rPr>
                <w:rFonts w:asciiTheme="minorHAnsi" w:hAnsiTheme="minorHAnsi"/>
                <w:color w:val="000000" w:themeColor="text1"/>
                <w:sz w:val="18"/>
                <w:szCs w:val="18"/>
              </w:rPr>
              <w:t>7</w:t>
            </w:r>
          </w:p>
        </w:tc>
        <w:tc>
          <w:tcPr>
            <w:tcW w:w="1403" w:type="dxa"/>
          </w:tcPr>
          <w:p w14:paraId="193C55C0" w14:textId="77777777" w:rsidR="001130C6" w:rsidRPr="00B003C5" w:rsidRDefault="001130C6" w:rsidP="0072192F">
            <w:pPr>
              <w:pStyle w:val="Tables"/>
              <w:jc w:val="right"/>
              <w:rPr>
                <w:rFonts w:asciiTheme="minorHAnsi" w:hAnsiTheme="minorHAnsi"/>
                <w:color w:val="000000" w:themeColor="text1"/>
                <w:sz w:val="18"/>
                <w:szCs w:val="18"/>
              </w:rPr>
            </w:pPr>
            <w:r w:rsidRPr="00B003C5">
              <w:rPr>
                <w:rFonts w:asciiTheme="minorHAnsi" w:hAnsiTheme="minorHAnsi"/>
                <w:color w:val="000000" w:themeColor="text1"/>
                <w:sz w:val="18"/>
                <w:szCs w:val="18"/>
              </w:rPr>
              <w:t>28</w:t>
            </w:r>
          </w:p>
        </w:tc>
        <w:tc>
          <w:tcPr>
            <w:tcW w:w="1615" w:type="dxa"/>
          </w:tcPr>
          <w:p w14:paraId="3AB26E9B" w14:textId="77777777" w:rsidR="001130C6" w:rsidRPr="00B003C5" w:rsidRDefault="001130C6" w:rsidP="0072192F">
            <w:pPr>
              <w:pStyle w:val="Tables"/>
              <w:jc w:val="right"/>
              <w:rPr>
                <w:rFonts w:asciiTheme="minorHAnsi" w:hAnsiTheme="minorHAnsi"/>
                <w:color w:val="000000" w:themeColor="text1"/>
                <w:sz w:val="18"/>
                <w:szCs w:val="18"/>
              </w:rPr>
            </w:pPr>
            <w:r w:rsidRPr="00B003C5">
              <w:rPr>
                <w:rFonts w:asciiTheme="minorHAnsi" w:hAnsiTheme="minorHAnsi"/>
                <w:color w:val="000000" w:themeColor="text1"/>
                <w:sz w:val="18"/>
                <w:szCs w:val="18"/>
              </w:rPr>
              <w:t>0.41 (0.37, 0.45)</w:t>
            </w:r>
          </w:p>
        </w:tc>
      </w:tr>
      <w:tr w:rsidR="001130C6" w:rsidRPr="00750C7A" w14:paraId="5C11353F" w14:textId="77777777" w:rsidTr="001130C6">
        <w:tc>
          <w:tcPr>
            <w:tcW w:w="3114" w:type="dxa"/>
          </w:tcPr>
          <w:p w14:paraId="3690B8AD" w14:textId="77777777" w:rsidR="001130C6" w:rsidRPr="00750C7A" w:rsidRDefault="001130C6" w:rsidP="0072192F">
            <w:pPr>
              <w:pStyle w:val="Tables"/>
              <w:rPr>
                <w:rFonts w:asciiTheme="minorHAnsi" w:hAnsiTheme="minorHAnsi"/>
                <w:sz w:val="18"/>
                <w:szCs w:val="18"/>
              </w:rPr>
            </w:pPr>
            <w:r w:rsidRPr="00750C7A">
              <w:rPr>
                <w:rFonts w:asciiTheme="minorHAnsi" w:hAnsiTheme="minorHAnsi"/>
                <w:sz w:val="18"/>
                <w:szCs w:val="18"/>
              </w:rPr>
              <w:t>Dystonia</w:t>
            </w:r>
          </w:p>
        </w:tc>
        <w:tc>
          <w:tcPr>
            <w:tcW w:w="1423" w:type="dxa"/>
          </w:tcPr>
          <w:p w14:paraId="690985E2" w14:textId="77777777" w:rsidR="001130C6" w:rsidRPr="00B003C5" w:rsidRDefault="001130C6" w:rsidP="0072192F">
            <w:pPr>
              <w:pStyle w:val="Tables"/>
              <w:jc w:val="right"/>
              <w:rPr>
                <w:rFonts w:asciiTheme="minorHAnsi" w:hAnsiTheme="minorHAnsi"/>
                <w:color w:val="000000" w:themeColor="text1"/>
                <w:sz w:val="18"/>
                <w:szCs w:val="18"/>
              </w:rPr>
            </w:pPr>
            <w:r w:rsidRPr="00B003C5">
              <w:rPr>
                <w:rFonts w:asciiTheme="minorHAnsi" w:hAnsiTheme="minorHAnsi"/>
                <w:color w:val="000000" w:themeColor="text1"/>
                <w:sz w:val="18"/>
                <w:szCs w:val="18"/>
              </w:rPr>
              <w:t>27</w:t>
            </w:r>
          </w:p>
        </w:tc>
        <w:tc>
          <w:tcPr>
            <w:tcW w:w="1461" w:type="dxa"/>
          </w:tcPr>
          <w:p w14:paraId="2D62226B" w14:textId="77777777" w:rsidR="001130C6" w:rsidRPr="00B003C5" w:rsidRDefault="001130C6" w:rsidP="0072192F">
            <w:pPr>
              <w:pStyle w:val="Tables"/>
              <w:jc w:val="right"/>
              <w:rPr>
                <w:rFonts w:asciiTheme="minorHAnsi" w:hAnsiTheme="minorHAnsi"/>
                <w:color w:val="000000" w:themeColor="text1"/>
                <w:sz w:val="18"/>
                <w:szCs w:val="18"/>
              </w:rPr>
            </w:pPr>
            <w:r w:rsidRPr="00B003C5">
              <w:rPr>
                <w:rFonts w:asciiTheme="minorHAnsi" w:hAnsiTheme="minorHAnsi"/>
                <w:color w:val="000000" w:themeColor="text1"/>
                <w:sz w:val="18"/>
                <w:szCs w:val="18"/>
              </w:rPr>
              <w:t>28</w:t>
            </w:r>
          </w:p>
        </w:tc>
        <w:tc>
          <w:tcPr>
            <w:tcW w:w="1403" w:type="dxa"/>
          </w:tcPr>
          <w:p w14:paraId="28CF2B41" w14:textId="77777777" w:rsidR="001130C6" w:rsidRPr="00B003C5" w:rsidRDefault="001130C6" w:rsidP="0072192F">
            <w:pPr>
              <w:pStyle w:val="Tables"/>
              <w:jc w:val="right"/>
              <w:rPr>
                <w:rFonts w:asciiTheme="minorHAnsi" w:hAnsiTheme="minorHAnsi"/>
                <w:color w:val="000000" w:themeColor="text1"/>
                <w:sz w:val="18"/>
                <w:szCs w:val="18"/>
              </w:rPr>
            </w:pPr>
            <w:r w:rsidRPr="00B003C5">
              <w:rPr>
                <w:rFonts w:asciiTheme="minorHAnsi" w:hAnsiTheme="minorHAnsi"/>
                <w:color w:val="000000" w:themeColor="text1"/>
                <w:sz w:val="18"/>
                <w:szCs w:val="18"/>
              </w:rPr>
              <w:t>26</w:t>
            </w:r>
          </w:p>
        </w:tc>
        <w:tc>
          <w:tcPr>
            <w:tcW w:w="1615" w:type="dxa"/>
          </w:tcPr>
          <w:p w14:paraId="2EBB21EC" w14:textId="77777777" w:rsidR="001130C6" w:rsidRPr="00B003C5" w:rsidRDefault="001130C6" w:rsidP="0072192F">
            <w:pPr>
              <w:pStyle w:val="Tables"/>
              <w:jc w:val="right"/>
              <w:rPr>
                <w:rFonts w:asciiTheme="minorHAnsi" w:hAnsiTheme="minorHAnsi"/>
                <w:color w:val="000000" w:themeColor="text1"/>
                <w:sz w:val="18"/>
                <w:szCs w:val="18"/>
              </w:rPr>
            </w:pPr>
            <w:r w:rsidRPr="00B003C5">
              <w:rPr>
                <w:rFonts w:asciiTheme="minorHAnsi" w:hAnsiTheme="minorHAnsi"/>
                <w:color w:val="000000" w:themeColor="text1"/>
                <w:sz w:val="18"/>
                <w:szCs w:val="18"/>
              </w:rPr>
              <w:t>0.41 (0.36, 0.46)</w:t>
            </w:r>
          </w:p>
        </w:tc>
      </w:tr>
      <w:tr w:rsidR="001130C6" w:rsidRPr="00750C7A" w14:paraId="6C525BFD" w14:textId="77777777" w:rsidTr="001130C6">
        <w:tc>
          <w:tcPr>
            <w:tcW w:w="3114" w:type="dxa"/>
          </w:tcPr>
          <w:p w14:paraId="1B349BEA" w14:textId="77777777" w:rsidR="001130C6" w:rsidRPr="00750C7A" w:rsidRDefault="001130C6" w:rsidP="0072192F">
            <w:pPr>
              <w:pStyle w:val="Tables"/>
              <w:rPr>
                <w:rFonts w:asciiTheme="minorHAnsi" w:hAnsiTheme="minorHAnsi"/>
                <w:sz w:val="18"/>
                <w:szCs w:val="18"/>
              </w:rPr>
            </w:pPr>
            <w:r w:rsidRPr="00750C7A">
              <w:rPr>
                <w:rFonts w:asciiTheme="minorHAnsi" w:hAnsiTheme="minorHAnsi"/>
                <w:sz w:val="18"/>
                <w:szCs w:val="18"/>
              </w:rPr>
              <w:t>Chorea</w:t>
            </w:r>
          </w:p>
        </w:tc>
        <w:tc>
          <w:tcPr>
            <w:tcW w:w="1423" w:type="dxa"/>
          </w:tcPr>
          <w:p w14:paraId="4C4E144F" w14:textId="77777777" w:rsidR="001130C6" w:rsidRPr="00B003C5" w:rsidRDefault="001130C6" w:rsidP="0072192F">
            <w:pPr>
              <w:pStyle w:val="Tables"/>
              <w:jc w:val="right"/>
              <w:rPr>
                <w:rFonts w:asciiTheme="minorHAnsi" w:hAnsiTheme="minorHAnsi"/>
                <w:color w:val="000000" w:themeColor="text1"/>
                <w:sz w:val="18"/>
                <w:szCs w:val="18"/>
              </w:rPr>
            </w:pPr>
            <w:r w:rsidRPr="00B003C5">
              <w:rPr>
                <w:rFonts w:asciiTheme="minorHAnsi" w:hAnsiTheme="minorHAnsi"/>
                <w:color w:val="000000" w:themeColor="text1"/>
                <w:sz w:val="18"/>
                <w:szCs w:val="18"/>
              </w:rPr>
              <w:t>2</w:t>
            </w:r>
          </w:p>
        </w:tc>
        <w:tc>
          <w:tcPr>
            <w:tcW w:w="1461" w:type="dxa"/>
          </w:tcPr>
          <w:p w14:paraId="6A6DEC4B" w14:textId="77777777" w:rsidR="001130C6" w:rsidRPr="00B003C5" w:rsidRDefault="001130C6" w:rsidP="0072192F">
            <w:pPr>
              <w:pStyle w:val="Tables"/>
              <w:jc w:val="right"/>
              <w:rPr>
                <w:rFonts w:asciiTheme="minorHAnsi" w:hAnsiTheme="minorHAnsi"/>
                <w:color w:val="000000" w:themeColor="text1"/>
                <w:sz w:val="18"/>
                <w:szCs w:val="18"/>
              </w:rPr>
            </w:pPr>
            <w:r w:rsidRPr="00B003C5">
              <w:rPr>
                <w:rFonts w:asciiTheme="minorHAnsi" w:hAnsiTheme="minorHAnsi"/>
                <w:color w:val="000000" w:themeColor="text1"/>
                <w:sz w:val="18"/>
                <w:szCs w:val="18"/>
              </w:rPr>
              <w:t>1</w:t>
            </w:r>
          </w:p>
        </w:tc>
        <w:tc>
          <w:tcPr>
            <w:tcW w:w="1403" w:type="dxa"/>
          </w:tcPr>
          <w:p w14:paraId="160EF209" w14:textId="77777777" w:rsidR="001130C6" w:rsidRPr="00B003C5" w:rsidRDefault="001130C6" w:rsidP="0072192F">
            <w:pPr>
              <w:pStyle w:val="Tables"/>
              <w:jc w:val="right"/>
              <w:rPr>
                <w:rFonts w:asciiTheme="minorHAnsi" w:hAnsiTheme="minorHAnsi"/>
                <w:color w:val="000000" w:themeColor="text1"/>
                <w:sz w:val="18"/>
                <w:szCs w:val="18"/>
              </w:rPr>
            </w:pPr>
            <w:r w:rsidRPr="00B003C5">
              <w:rPr>
                <w:rFonts w:asciiTheme="minorHAnsi" w:hAnsiTheme="minorHAnsi"/>
                <w:color w:val="000000" w:themeColor="text1"/>
                <w:sz w:val="18"/>
                <w:szCs w:val="18"/>
              </w:rPr>
              <w:t>2</w:t>
            </w:r>
          </w:p>
        </w:tc>
        <w:tc>
          <w:tcPr>
            <w:tcW w:w="1615" w:type="dxa"/>
          </w:tcPr>
          <w:p w14:paraId="5667EF40" w14:textId="77777777" w:rsidR="001130C6" w:rsidRPr="00B003C5" w:rsidRDefault="001130C6" w:rsidP="0072192F">
            <w:pPr>
              <w:pStyle w:val="Tables"/>
              <w:jc w:val="right"/>
              <w:rPr>
                <w:rFonts w:asciiTheme="minorHAnsi" w:hAnsiTheme="minorHAnsi"/>
                <w:color w:val="000000" w:themeColor="text1"/>
                <w:sz w:val="18"/>
                <w:szCs w:val="18"/>
              </w:rPr>
            </w:pPr>
            <w:r w:rsidRPr="00B003C5">
              <w:rPr>
                <w:rFonts w:asciiTheme="minorHAnsi" w:hAnsiTheme="minorHAnsi"/>
                <w:color w:val="000000" w:themeColor="text1"/>
                <w:sz w:val="18"/>
                <w:szCs w:val="18"/>
              </w:rPr>
              <w:t>0.14 (0.12, 0.17)</w:t>
            </w:r>
          </w:p>
        </w:tc>
      </w:tr>
      <w:tr w:rsidR="001130C6" w:rsidRPr="00750C7A" w14:paraId="309DA722" w14:textId="77777777" w:rsidTr="001130C6">
        <w:tc>
          <w:tcPr>
            <w:tcW w:w="3114" w:type="dxa"/>
          </w:tcPr>
          <w:p w14:paraId="2E9FEEC6" w14:textId="77777777" w:rsidR="001130C6" w:rsidRPr="00750C7A" w:rsidRDefault="001130C6" w:rsidP="0072192F">
            <w:pPr>
              <w:pStyle w:val="Tables"/>
              <w:rPr>
                <w:rFonts w:asciiTheme="minorHAnsi" w:hAnsiTheme="minorHAnsi"/>
                <w:sz w:val="18"/>
                <w:szCs w:val="18"/>
              </w:rPr>
            </w:pPr>
            <w:r w:rsidRPr="00750C7A">
              <w:rPr>
                <w:rFonts w:asciiTheme="minorHAnsi" w:hAnsiTheme="minorHAnsi"/>
                <w:sz w:val="18"/>
                <w:szCs w:val="18"/>
              </w:rPr>
              <w:t>Bradykinesia</w:t>
            </w:r>
          </w:p>
        </w:tc>
        <w:tc>
          <w:tcPr>
            <w:tcW w:w="1423" w:type="dxa"/>
          </w:tcPr>
          <w:p w14:paraId="4897F121" w14:textId="77777777" w:rsidR="001130C6" w:rsidRPr="00B003C5" w:rsidRDefault="001130C6" w:rsidP="0072192F">
            <w:pPr>
              <w:pStyle w:val="Tables"/>
              <w:jc w:val="right"/>
              <w:rPr>
                <w:rFonts w:asciiTheme="minorHAnsi" w:hAnsiTheme="minorHAnsi"/>
                <w:color w:val="000000" w:themeColor="text1"/>
                <w:sz w:val="18"/>
                <w:szCs w:val="18"/>
              </w:rPr>
            </w:pPr>
            <w:r w:rsidRPr="00B003C5">
              <w:rPr>
                <w:rFonts w:asciiTheme="minorHAnsi" w:hAnsiTheme="minorHAnsi"/>
                <w:color w:val="000000" w:themeColor="text1"/>
                <w:sz w:val="18"/>
                <w:szCs w:val="18"/>
              </w:rPr>
              <w:t>27</w:t>
            </w:r>
          </w:p>
        </w:tc>
        <w:tc>
          <w:tcPr>
            <w:tcW w:w="1461" w:type="dxa"/>
          </w:tcPr>
          <w:p w14:paraId="080A589B" w14:textId="77777777" w:rsidR="001130C6" w:rsidRPr="00B003C5" w:rsidRDefault="001130C6" w:rsidP="0072192F">
            <w:pPr>
              <w:pStyle w:val="Tables"/>
              <w:jc w:val="right"/>
              <w:rPr>
                <w:rFonts w:asciiTheme="minorHAnsi" w:hAnsiTheme="minorHAnsi"/>
                <w:color w:val="000000" w:themeColor="text1"/>
                <w:sz w:val="18"/>
                <w:szCs w:val="18"/>
              </w:rPr>
            </w:pPr>
            <w:r w:rsidRPr="00B003C5">
              <w:rPr>
                <w:rFonts w:asciiTheme="minorHAnsi" w:hAnsiTheme="minorHAnsi"/>
                <w:color w:val="000000" w:themeColor="text1"/>
                <w:sz w:val="18"/>
                <w:szCs w:val="18"/>
              </w:rPr>
              <w:t>43</w:t>
            </w:r>
          </w:p>
        </w:tc>
        <w:tc>
          <w:tcPr>
            <w:tcW w:w="1403" w:type="dxa"/>
          </w:tcPr>
          <w:p w14:paraId="0FF5EF14" w14:textId="77777777" w:rsidR="001130C6" w:rsidRPr="00B003C5" w:rsidRDefault="001130C6" w:rsidP="0072192F">
            <w:pPr>
              <w:pStyle w:val="Tables"/>
              <w:jc w:val="right"/>
              <w:rPr>
                <w:rFonts w:asciiTheme="minorHAnsi" w:hAnsiTheme="minorHAnsi"/>
                <w:color w:val="000000" w:themeColor="text1"/>
                <w:sz w:val="18"/>
                <w:szCs w:val="18"/>
              </w:rPr>
            </w:pPr>
            <w:r w:rsidRPr="00B003C5">
              <w:rPr>
                <w:rFonts w:asciiTheme="minorHAnsi" w:hAnsiTheme="minorHAnsi"/>
                <w:color w:val="000000" w:themeColor="text1"/>
                <w:sz w:val="18"/>
                <w:szCs w:val="18"/>
              </w:rPr>
              <w:t>30</w:t>
            </w:r>
          </w:p>
        </w:tc>
        <w:tc>
          <w:tcPr>
            <w:tcW w:w="1615" w:type="dxa"/>
          </w:tcPr>
          <w:p w14:paraId="68E191A7" w14:textId="77777777" w:rsidR="001130C6" w:rsidRPr="00B003C5" w:rsidRDefault="001130C6" w:rsidP="0072192F">
            <w:pPr>
              <w:pStyle w:val="Tables"/>
              <w:jc w:val="right"/>
              <w:rPr>
                <w:rFonts w:asciiTheme="minorHAnsi" w:hAnsiTheme="minorHAnsi"/>
                <w:color w:val="000000" w:themeColor="text1"/>
                <w:sz w:val="18"/>
                <w:szCs w:val="18"/>
              </w:rPr>
            </w:pPr>
            <w:r w:rsidRPr="00B003C5">
              <w:rPr>
                <w:rFonts w:asciiTheme="minorHAnsi" w:hAnsiTheme="minorHAnsi"/>
                <w:color w:val="000000" w:themeColor="text1"/>
                <w:sz w:val="18"/>
                <w:szCs w:val="18"/>
              </w:rPr>
              <w:t>0.38 (0.34, 0.43)</w:t>
            </w:r>
          </w:p>
        </w:tc>
      </w:tr>
      <w:tr w:rsidR="001130C6" w:rsidRPr="00750C7A" w14:paraId="787245C4" w14:textId="77777777" w:rsidTr="001130C6">
        <w:tc>
          <w:tcPr>
            <w:tcW w:w="3114" w:type="dxa"/>
          </w:tcPr>
          <w:p w14:paraId="2B2199AC" w14:textId="77777777" w:rsidR="001130C6" w:rsidRPr="00750C7A" w:rsidRDefault="001130C6" w:rsidP="0072192F">
            <w:pPr>
              <w:pStyle w:val="Tables"/>
              <w:rPr>
                <w:rFonts w:asciiTheme="minorHAnsi" w:hAnsiTheme="minorHAnsi"/>
                <w:sz w:val="18"/>
                <w:szCs w:val="18"/>
              </w:rPr>
            </w:pPr>
            <w:r w:rsidRPr="00750C7A">
              <w:rPr>
                <w:rFonts w:asciiTheme="minorHAnsi" w:hAnsiTheme="minorHAnsi"/>
                <w:sz w:val="18"/>
                <w:szCs w:val="18"/>
              </w:rPr>
              <w:t>Myoclonus</w:t>
            </w:r>
          </w:p>
        </w:tc>
        <w:tc>
          <w:tcPr>
            <w:tcW w:w="1423" w:type="dxa"/>
          </w:tcPr>
          <w:p w14:paraId="4311188D" w14:textId="77777777" w:rsidR="001130C6" w:rsidRPr="00B003C5" w:rsidRDefault="001130C6" w:rsidP="0072192F">
            <w:pPr>
              <w:pStyle w:val="Tables"/>
              <w:jc w:val="right"/>
              <w:rPr>
                <w:rFonts w:asciiTheme="minorHAnsi" w:hAnsiTheme="minorHAnsi"/>
                <w:color w:val="000000" w:themeColor="text1"/>
                <w:sz w:val="18"/>
                <w:szCs w:val="18"/>
              </w:rPr>
            </w:pPr>
            <w:r w:rsidRPr="00B003C5">
              <w:rPr>
                <w:rFonts w:asciiTheme="minorHAnsi" w:hAnsiTheme="minorHAnsi"/>
                <w:color w:val="000000" w:themeColor="text1"/>
                <w:sz w:val="18"/>
                <w:szCs w:val="18"/>
              </w:rPr>
              <w:t>4</w:t>
            </w:r>
          </w:p>
        </w:tc>
        <w:tc>
          <w:tcPr>
            <w:tcW w:w="1461" w:type="dxa"/>
          </w:tcPr>
          <w:p w14:paraId="01E7B47D" w14:textId="77777777" w:rsidR="001130C6" w:rsidRPr="00B003C5" w:rsidRDefault="001130C6" w:rsidP="0072192F">
            <w:pPr>
              <w:pStyle w:val="Tables"/>
              <w:jc w:val="right"/>
              <w:rPr>
                <w:rFonts w:asciiTheme="minorHAnsi" w:hAnsiTheme="minorHAnsi"/>
                <w:color w:val="000000" w:themeColor="text1"/>
                <w:sz w:val="18"/>
                <w:szCs w:val="18"/>
              </w:rPr>
            </w:pPr>
            <w:r w:rsidRPr="00B003C5">
              <w:rPr>
                <w:rFonts w:asciiTheme="minorHAnsi" w:hAnsiTheme="minorHAnsi"/>
                <w:color w:val="000000" w:themeColor="text1"/>
                <w:sz w:val="18"/>
                <w:szCs w:val="18"/>
              </w:rPr>
              <w:t>12</w:t>
            </w:r>
          </w:p>
        </w:tc>
        <w:tc>
          <w:tcPr>
            <w:tcW w:w="1403" w:type="dxa"/>
          </w:tcPr>
          <w:p w14:paraId="3103DC07" w14:textId="77777777" w:rsidR="001130C6" w:rsidRPr="00B003C5" w:rsidRDefault="001130C6" w:rsidP="0072192F">
            <w:pPr>
              <w:pStyle w:val="Tables"/>
              <w:jc w:val="right"/>
              <w:rPr>
                <w:rFonts w:asciiTheme="minorHAnsi" w:hAnsiTheme="minorHAnsi"/>
                <w:color w:val="000000" w:themeColor="text1"/>
                <w:sz w:val="18"/>
                <w:szCs w:val="18"/>
              </w:rPr>
            </w:pPr>
            <w:r w:rsidRPr="00B003C5">
              <w:rPr>
                <w:rFonts w:asciiTheme="minorHAnsi" w:hAnsiTheme="minorHAnsi"/>
                <w:color w:val="000000" w:themeColor="text1"/>
                <w:sz w:val="18"/>
                <w:szCs w:val="18"/>
              </w:rPr>
              <w:t>4</w:t>
            </w:r>
          </w:p>
        </w:tc>
        <w:tc>
          <w:tcPr>
            <w:tcW w:w="1615" w:type="dxa"/>
          </w:tcPr>
          <w:p w14:paraId="7C1CD05C" w14:textId="77777777" w:rsidR="001130C6" w:rsidRPr="00B003C5" w:rsidRDefault="001130C6" w:rsidP="0072192F">
            <w:pPr>
              <w:pStyle w:val="Tables"/>
              <w:jc w:val="right"/>
              <w:rPr>
                <w:rFonts w:asciiTheme="minorHAnsi" w:hAnsiTheme="minorHAnsi"/>
                <w:color w:val="000000" w:themeColor="text1"/>
                <w:sz w:val="18"/>
                <w:szCs w:val="18"/>
              </w:rPr>
            </w:pPr>
            <w:r w:rsidRPr="00B003C5">
              <w:rPr>
                <w:rFonts w:asciiTheme="minorHAnsi" w:hAnsiTheme="minorHAnsi"/>
                <w:color w:val="000000" w:themeColor="text1"/>
                <w:sz w:val="18"/>
                <w:szCs w:val="18"/>
              </w:rPr>
              <w:t>0.21 (0.18, 0.24)</w:t>
            </w:r>
          </w:p>
        </w:tc>
      </w:tr>
      <w:tr w:rsidR="001130C6" w:rsidRPr="00750C7A" w14:paraId="16E23D20" w14:textId="77777777" w:rsidTr="001130C6">
        <w:tc>
          <w:tcPr>
            <w:tcW w:w="3114" w:type="dxa"/>
          </w:tcPr>
          <w:p w14:paraId="52EB6338" w14:textId="77777777" w:rsidR="001130C6" w:rsidRPr="00750C7A" w:rsidRDefault="001130C6" w:rsidP="0072192F">
            <w:pPr>
              <w:pStyle w:val="Tables"/>
              <w:rPr>
                <w:rFonts w:asciiTheme="minorHAnsi" w:hAnsiTheme="minorHAnsi"/>
                <w:sz w:val="18"/>
                <w:szCs w:val="18"/>
              </w:rPr>
            </w:pPr>
            <w:r w:rsidRPr="00750C7A">
              <w:rPr>
                <w:rFonts w:asciiTheme="minorHAnsi" w:hAnsiTheme="minorHAnsi"/>
                <w:sz w:val="18"/>
                <w:szCs w:val="18"/>
              </w:rPr>
              <w:t>Cerebellar</w:t>
            </w:r>
          </w:p>
        </w:tc>
        <w:tc>
          <w:tcPr>
            <w:tcW w:w="1423" w:type="dxa"/>
          </w:tcPr>
          <w:p w14:paraId="2B4A2E4A" w14:textId="77777777" w:rsidR="001130C6" w:rsidRPr="00B003C5" w:rsidRDefault="001130C6" w:rsidP="0072192F">
            <w:pPr>
              <w:pStyle w:val="Tables"/>
              <w:jc w:val="right"/>
              <w:rPr>
                <w:rFonts w:asciiTheme="minorHAnsi" w:hAnsiTheme="minorHAnsi"/>
                <w:color w:val="000000" w:themeColor="text1"/>
                <w:sz w:val="18"/>
                <w:szCs w:val="18"/>
              </w:rPr>
            </w:pPr>
            <w:r w:rsidRPr="00B003C5">
              <w:rPr>
                <w:rFonts w:asciiTheme="minorHAnsi" w:hAnsiTheme="minorHAnsi"/>
                <w:color w:val="000000" w:themeColor="text1"/>
                <w:sz w:val="18"/>
                <w:szCs w:val="18"/>
              </w:rPr>
              <w:t>0</w:t>
            </w:r>
          </w:p>
        </w:tc>
        <w:tc>
          <w:tcPr>
            <w:tcW w:w="1461" w:type="dxa"/>
          </w:tcPr>
          <w:p w14:paraId="57DEA9A5" w14:textId="77777777" w:rsidR="001130C6" w:rsidRPr="00B003C5" w:rsidRDefault="001130C6" w:rsidP="0072192F">
            <w:pPr>
              <w:pStyle w:val="Tables"/>
              <w:jc w:val="right"/>
              <w:rPr>
                <w:rFonts w:asciiTheme="minorHAnsi" w:hAnsiTheme="minorHAnsi"/>
                <w:color w:val="000000" w:themeColor="text1"/>
                <w:sz w:val="18"/>
                <w:szCs w:val="18"/>
              </w:rPr>
            </w:pPr>
            <w:r w:rsidRPr="00B003C5">
              <w:rPr>
                <w:rFonts w:asciiTheme="minorHAnsi" w:hAnsiTheme="minorHAnsi"/>
                <w:color w:val="000000" w:themeColor="text1"/>
                <w:sz w:val="18"/>
                <w:szCs w:val="18"/>
              </w:rPr>
              <w:t>3</w:t>
            </w:r>
          </w:p>
        </w:tc>
        <w:tc>
          <w:tcPr>
            <w:tcW w:w="1403" w:type="dxa"/>
          </w:tcPr>
          <w:p w14:paraId="141EF3D7" w14:textId="77777777" w:rsidR="001130C6" w:rsidRPr="00B003C5" w:rsidRDefault="001130C6" w:rsidP="0072192F">
            <w:pPr>
              <w:pStyle w:val="Tables"/>
              <w:jc w:val="right"/>
              <w:rPr>
                <w:rFonts w:asciiTheme="minorHAnsi" w:hAnsiTheme="minorHAnsi"/>
                <w:color w:val="000000" w:themeColor="text1"/>
                <w:sz w:val="18"/>
                <w:szCs w:val="18"/>
              </w:rPr>
            </w:pPr>
            <w:r w:rsidRPr="00B003C5">
              <w:rPr>
                <w:rFonts w:asciiTheme="minorHAnsi" w:hAnsiTheme="minorHAnsi"/>
                <w:color w:val="000000" w:themeColor="text1"/>
                <w:sz w:val="18"/>
                <w:szCs w:val="18"/>
              </w:rPr>
              <w:t>9</w:t>
            </w:r>
          </w:p>
        </w:tc>
        <w:tc>
          <w:tcPr>
            <w:tcW w:w="1615" w:type="dxa"/>
          </w:tcPr>
          <w:p w14:paraId="027D2ADE" w14:textId="77777777" w:rsidR="001130C6" w:rsidRPr="00B003C5" w:rsidRDefault="001130C6" w:rsidP="0072192F">
            <w:pPr>
              <w:pStyle w:val="Tables"/>
              <w:jc w:val="right"/>
              <w:rPr>
                <w:rFonts w:asciiTheme="minorHAnsi" w:hAnsiTheme="minorHAnsi"/>
                <w:color w:val="000000" w:themeColor="text1"/>
                <w:sz w:val="18"/>
                <w:szCs w:val="18"/>
              </w:rPr>
            </w:pPr>
            <w:r>
              <w:rPr>
                <w:rFonts w:asciiTheme="minorHAnsi" w:hAnsiTheme="minorHAnsi"/>
                <w:color w:val="000000" w:themeColor="text1"/>
                <w:sz w:val="18"/>
                <w:szCs w:val="18"/>
              </w:rPr>
              <w:t>0</w:t>
            </w:r>
          </w:p>
        </w:tc>
      </w:tr>
      <w:tr w:rsidR="001130C6" w:rsidRPr="00750C7A" w14:paraId="3EF04B77" w14:textId="77777777" w:rsidTr="001130C6">
        <w:tc>
          <w:tcPr>
            <w:tcW w:w="3114" w:type="dxa"/>
          </w:tcPr>
          <w:p w14:paraId="004FAA21" w14:textId="77777777" w:rsidR="001130C6" w:rsidRPr="00750C7A" w:rsidRDefault="001130C6" w:rsidP="0072192F">
            <w:pPr>
              <w:pStyle w:val="Tables"/>
              <w:rPr>
                <w:rFonts w:asciiTheme="minorHAnsi" w:hAnsiTheme="minorHAnsi"/>
                <w:sz w:val="18"/>
                <w:szCs w:val="18"/>
              </w:rPr>
            </w:pPr>
            <w:proofErr w:type="spellStart"/>
            <w:r w:rsidRPr="00750C7A">
              <w:rPr>
                <w:rFonts w:asciiTheme="minorHAnsi" w:hAnsiTheme="minorHAnsi"/>
                <w:sz w:val="18"/>
                <w:szCs w:val="18"/>
              </w:rPr>
              <w:t>Ballism</w:t>
            </w:r>
            <w:proofErr w:type="spellEnd"/>
          </w:p>
        </w:tc>
        <w:tc>
          <w:tcPr>
            <w:tcW w:w="1423" w:type="dxa"/>
          </w:tcPr>
          <w:p w14:paraId="0B3E72A2" w14:textId="77777777" w:rsidR="001130C6" w:rsidRPr="00B003C5" w:rsidRDefault="001130C6" w:rsidP="0072192F">
            <w:pPr>
              <w:pStyle w:val="Tables"/>
              <w:jc w:val="right"/>
              <w:rPr>
                <w:rFonts w:asciiTheme="minorHAnsi" w:hAnsiTheme="minorHAnsi"/>
                <w:color w:val="000000" w:themeColor="text1"/>
                <w:sz w:val="18"/>
                <w:szCs w:val="18"/>
              </w:rPr>
            </w:pPr>
            <w:r w:rsidRPr="00B003C5">
              <w:rPr>
                <w:rFonts w:asciiTheme="minorHAnsi" w:hAnsiTheme="minorHAnsi"/>
                <w:color w:val="000000" w:themeColor="text1"/>
                <w:sz w:val="18"/>
                <w:szCs w:val="18"/>
              </w:rPr>
              <w:t>1</w:t>
            </w:r>
          </w:p>
        </w:tc>
        <w:tc>
          <w:tcPr>
            <w:tcW w:w="1461" w:type="dxa"/>
          </w:tcPr>
          <w:p w14:paraId="75C05EA2" w14:textId="77777777" w:rsidR="001130C6" w:rsidRPr="00B003C5" w:rsidRDefault="001130C6" w:rsidP="0072192F">
            <w:pPr>
              <w:pStyle w:val="Tables"/>
              <w:jc w:val="right"/>
              <w:rPr>
                <w:rFonts w:asciiTheme="minorHAnsi" w:hAnsiTheme="minorHAnsi"/>
                <w:color w:val="000000" w:themeColor="text1"/>
                <w:sz w:val="18"/>
                <w:szCs w:val="18"/>
              </w:rPr>
            </w:pPr>
            <w:r w:rsidRPr="00B003C5">
              <w:rPr>
                <w:rFonts w:asciiTheme="minorHAnsi" w:hAnsiTheme="minorHAnsi"/>
                <w:color w:val="000000" w:themeColor="text1"/>
                <w:sz w:val="18"/>
                <w:szCs w:val="18"/>
              </w:rPr>
              <w:t>2</w:t>
            </w:r>
          </w:p>
        </w:tc>
        <w:tc>
          <w:tcPr>
            <w:tcW w:w="1403" w:type="dxa"/>
          </w:tcPr>
          <w:p w14:paraId="6FFB5464" w14:textId="77777777" w:rsidR="001130C6" w:rsidRPr="00B003C5" w:rsidRDefault="001130C6" w:rsidP="0072192F">
            <w:pPr>
              <w:pStyle w:val="Tables"/>
              <w:jc w:val="right"/>
              <w:rPr>
                <w:rFonts w:asciiTheme="minorHAnsi" w:hAnsiTheme="minorHAnsi"/>
                <w:color w:val="000000" w:themeColor="text1"/>
                <w:sz w:val="18"/>
                <w:szCs w:val="18"/>
              </w:rPr>
            </w:pPr>
            <w:r w:rsidRPr="00B003C5">
              <w:rPr>
                <w:rFonts w:asciiTheme="minorHAnsi" w:hAnsiTheme="minorHAnsi"/>
                <w:color w:val="000000" w:themeColor="text1"/>
                <w:sz w:val="18"/>
                <w:szCs w:val="18"/>
              </w:rPr>
              <w:t>0</w:t>
            </w:r>
          </w:p>
        </w:tc>
        <w:tc>
          <w:tcPr>
            <w:tcW w:w="1615" w:type="dxa"/>
          </w:tcPr>
          <w:p w14:paraId="17E17272" w14:textId="77777777" w:rsidR="001130C6" w:rsidRPr="00B003C5" w:rsidRDefault="001130C6" w:rsidP="0072192F">
            <w:pPr>
              <w:pStyle w:val="Tables"/>
              <w:jc w:val="right"/>
              <w:rPr>
                <w:rFonts w:asciiTheme="minorHAnsi" w:hAnsiTheme="minorHAnsi"/>
                <w:color w:val="000000" w:themeColor="text1"/>
                <w:sz w:val="18"/>
                <w:szCs w:val="18"/>
              </w:rPr>
            </w:pPr>
            <w:r>
              <w:rPr>
                <w:rFonts w:asciiTheme="minorHAnsi" w:hAnsiTheme="minorHAnsi"/>
                <w:color w:val="000000" w:themeColor="text1"/>
                <w:sz w:val="18"/>
                <w:szCs w:val="18"/>
              </w:rPr>
              <w:t>0.22 (0.20, 0.24)</w:t>
            </w:r>
          </w:p>
        </w:tc>
      </w:tr>
      <w:tr w:rsidR="001130C6" w:rsidRPr="00750C7A" w14:paraId="4DAB732C" w14:textId="77777777" w:rsidTr="001130C6">
        <w:tc>
          <w:tcPr>
            <w:tcW w:w="3114" w:type="dxa"/>
          </w:tcPr>
          <w:p w14:paraId="238BFC15" w14:textId="77777777" w:rsidR="001130C6" w:rsidRPr="00750C7A" w:rsidRDefault="001130C6" w:rsidP="0072192F">
            <w:pPr>
              <w:pStyle w:val="Tables"/>
              <w:rPr>
                <w:rFonts w:asciiTheme="minorHAnsi" w:hAnsiTheme="minorHAnsi"/>
                <w:sz w:val="18"/>
                <w:szCs w:val="18"/>
              </w:rPr>
            </w:pPr>
            <w:proofErr w:type="spellStart"/>
            <w:r w:rsidRPr="00750C7A">
              <w:rPr>
                <w:rFonts w:asciiTheme="minorHAnsi" w:hAnsiTheme="minorHAnsi"/>
                <w:sz w:val="18"/>
                <w:szCs w:val="18"/>
              </w:rPr>
              <w:t>Athetosis</w:t>
            </w:r>
            <w:proofErr w:type="spellEnd"/>
          </w:p>
        </w:tc>
        <w:tc>
          <w:tcPr>
            <w:tcW w:w="1423" w:type="dxa"/>
          </w:tcPr>
          <w:p w14:paraId="4C528207" w14:textId="77777777" w:rsidR="001130C6" w:rsidRPr="00B003C5" w:rsidRDefault="001130C6" w:rsidP="0072192F">
            <w:pPr>
              <w:pStyle w:val="Tables"/>
              <w:jc w:val="right"/>
              <w:rPr>
                <w:rFonts w:asciiTheme="minorHAnsi" w:hAnsiTheme="minorHAnsi"/>
                <w:color w:val="000000" w:themeColor="text1"/>
                <w:sz w:val="18"/>
                <w:szCs w:val="18"/>
              </w:rPr>
            </w:pPr>
            <w:r w:rsidRPr="00B003C5">
              <w:rPr>
                <w:rFonts w:asciiTheme="minorHAnsi" w:hAnsiTheme="minorHAnsi"/>
                <w:color w:val="000000" w:themeColor="text1"/>
                <w:sz w:val="18"/>
                <w:szCs w:val="18"/>
              </w:rPr>
              <w:t>0</w:t>
            </w:r>
          </w:p>
        </w:tc>
        <w:tc>
          <w:tcPr>
            <w:tcW w:w="1461" w:type="dxa"/>
          </w:tcPr>
          <w:p w14:paraId="14531C90" w14:textId="77777777" w:rsidR="001130C6" w:rsidRPr="00B003C5" w:rsidRDefault="001130C6" w:rsidP="0072192F">
            <w:pPr>
              <w:pStyle w:val="Tables"/>
              <w:jc w:val="right"/>
              <w:rPr>
                <w:rFonts w:asciiTheme="minorHAnsi" w:hAnsiTheme="minorHAnsi"/>
                <w:color w:val="000000" w:themeColor="text1"/>
                <w:sz w:val="18"/>
                <w:szCs w:val="18"/>
              </w:rPr>
            </w:pPr>
            <w:r w:rsidRPr="00B003C5">
              <w:rPr>
                <w:rFonts w:asciiTheme="minorHAnsi" w:hAnsiTheme="minorHAnsi"/>
                <w:color w:val="000000" w:themeColor="text1"/>
                <w:sz w:val="18"/>
                <w:szCs w:val="18"/>
              </w:rPr>
              <w:t>1</w:t>
            </w:r>
          </w:p>
        </w:tc>
        <w:tc>
          <w:tcPr>
            <w:tcW w:w="1403" w:type="dxa"/>
          </w:tcPr>
          <w:p w14:paraId="537B87DE" w14:textId="77777777" w:rsidR="001130C6" w:rsidRPr="00B003C5" w:rsidRDefault="001130C6" w:rsidP="0072192F">
            <w:pPr>
              <w:pStyle w:val="Tables"/>
              <w:jc w:val="right"/>
              <w:rPr>
                <w:rFonts w:asciiTheme="minorHAnsi" w:hAnsiTheme="minorHAnsi"/>
                <w:color w:val="000000" w:themeColor="text1"/>
                <w:sz w:val="18"/>
                <w:szCs w:val="18"/>
              </w:rPr>
            </w:pPr>
            <w:r w:rsidRPr="00B003C5">
              <w:rPr>
                <w:rFonts w:asciiTheme="minorHAnsi" w:hAnsiTheme="minorHAnsi"/>
                <w:color w:val="000000" w:themeColor="text1"/>
                <w:sz w:val="18"/>
                <w:szCs w:val="18"/>
              </w:rPr>
              <w:t>1</w:t>
            </w:r>
          </w:p>
        </w:tc>
        <w:tc>
          <w:tcPr>
            <w:tcW w:w="1615" w:type="dxa"/>
          </w:tcPr>
          <w:p w14:paraId="45183B65" w14:textId="77777777" w:rsidR="001130C6" w:rsidRPr="00B003C5" w:rsidRDefault="001130C6" w:rsidP="0072192F">
            <w:pPr>
              <w:pStyle w:val="Tables"/>
              <w:jc w:val="right"/>
              <w:rPr>
                <w:rFonts w:asciiTheme="minorHAnsi" w:hAnsiTheme="minorHAnsi"/>
                <w:color w:val="000000" w:themeColor="text1"/>
                <w:sz w:val="18"/>
                <w:szCs w:val="18"/>
              </w:rPr>
            </w:pPr>
            <w:r>
              <w:rPr>
                <w:rFonts w:asciiTheme="minorHAnsi" w:hAnsiTheme="minorHAnsi"/>
                <w:color w:val="000000" w:themeColor="text1"/>
                <w:sz w:val="18"/>
                <w:szCs w:val="18"/>
              </w:rPr>
              <w:t>0</w:t>
            </w:r>
          </w:p>
        </w:tc>
      </w:tr>
      <w:tr w:rsidR="001130C6" w:rsidRPr="00750C7A" w14:paraId="50DB9848" w14:textId="77777777" w:rsidTr="001130C6">
        <w:tc>
          <w:tcPr>
            <w:tcW w:w="3114" w:type="dxa"/>
          </w:tcPr>
          <w:p w14:paraId="456E44E3" w14:textId="77777777" w:rsidR="001130C6" w:rsidRPr="00750C7A" w:rsidRDefault="001130C6" w:rsidP="0072192F">
            <w:pPr>
              <w:pStyle w:val="Tables"/>
              <w:rPr>
                <w:rFonts w:asciiTheme="minorHAnsi" w:hAnsiTheme="minorHAnsi"/>
                <w:sz w:val="18"/>
                <w:szCs w:val="18"/>
              </w:rPr>
            </w:pPr>
            <w:r w:rsidRPr="00750C7A">
              <w:rPr>
                <w:rFonts w:asciiTheme="minorHAnsi" w:hAnsiTheme="minorHAnsi"/>
                <w:sz w:val="18"/>
                <w:szCs w:val="18"/>
              </w:rPr>
              <w:t>Tics</w:t>
            </w:r>
          </w:p>
        </w:tc>
        <w:tc>
          <w:tcPr>
            <w:tcW w:w="1423" w:type="dxa"/>
          </w:tcPr>
          <w:p w14:paraId="32559381" w14:textId="77777777" w:rsidR="001130C6" w:rsidRPr="00B003C5" w:rsidRDefault="001130C6" w:rsidP="0072192F">
            <w:pPr>
              <w:pStyle w:val="Tables"/>
              <w:jc w:val="right"/>
              <w:rPr>
                <w:rFonts w:asciiTheme="minorHAnsi" w:hAnsiTheme="minorHAnsi"/>
                <w:color w:val="000000" w:themeColor="text1"/>
                <w:sz w:val="18"/>
                <w:szCs w:val="18"/>
              </w:rPr>
            </w:pPr>
            <w:r w:rsidRPr="00B003C5">
              <w:rPr>
                <w:rFonts w:asciiTheme="minorHAnsi" w:hAnsiTheme="minorHAnsi"/>
                <w:color w:val="000000" w:themeColor="text1"/>
                <w:sz w:val="18"/>
                <w:szCs w:val="18"/>
              </w:rPr>
              <w:t>1</w:t>
            </w:r>
          </w:p>
        </w:tc>
        <w:tc>
          <w:tcPr>
            <w:tcW w:w="1461" w:type="dxa"/>
          </w:tcPr>
          <w:p w14:paraId="180889F1" w14:textId="77777777" w:rsidR="001130C6" w:rsidRPr="00B003C5" w:rsidRDefault="001130C6" w:rsidP="0072192F">
            <w:pPr>
              <w:pStyle w:val="Tables"/>
              <w:jc w:val="right"/>
              <w:rPr>
                <w:rFonts w:asciiTheme="minorHAnsi" w:hAnsiTheme="minorHAnsi"/>
                <w:color w:val="000000" w:themeColor="text1"/>
                <w:sz w:val="18"/>
                <w:szCs w:val="18"/>
              </w:rPr>
            </w:pPr>
            <w:r w:rsidRPr="00B003C5">
              <w:rPr>
                <w:rFonts w:asciiTheme="minorHAnsi" w:hAnsiTheme="minorHAnsi"/>
                <w:color w:val="000000" w:themeColor="text1"/>
                <w:sz w:val="18"/>
                <w:szCs w:val="18"/>
              </w:rPr>
              <w:t>7</w:t>
            </w:r>
          </w:p>
        </w:tc>
        <w:tc>
          <w:tcPr>
            <w:tcW w:w="1403" w:type="dxa"/>
          </w:tcPr>
          <w:p w14:paraId="1AA0A05F" w14:textId="77777777" w:rsidR="001130C6" w:rsidRPr="00B003C5" w:rsidRDefault="001130C6" w:rsidP="0072192F">
            <w:pPr>
              <w:pStyle w:val="Tables"/>
              <w:jc w:val="right"/>
              <w:rPr>
                <w:rFonts w:asciiTheme="minorHAnsi" w:hAnsiTheme="minorHAnsi"/>
                <w:color w:val="000000" w:themeColor="text1"/>
                <w:sz w:val="18"/>
                <w:szCs w:val="18"/>
              </w:rPr>
            </w:pPr>
            <w:r w:rsidRPr="00B003C5">
              <w:rPr>
                <w:rFonts w:asciiTheme="minorHAnsi" w:hAnsiTheme="minorHAnsi"/>
                <w:color w:val="000000" w:themeColor="text1"/>
                <w:sz w:val="18"/>
                <w:szCs w:val="18"/>
              </w:rPr>
              <w:t>0</w:t>
            </w:r>
          </w:p>
        </w:tc>
        <w:tc>
          <w:tcPr>
            <w:tcW w:w="1615" w:type="dxa"/>
          </w:tcPr>
          <w:p w14:paraId="1F350A5F" w14:textId="77777777" w:rsidR="001130C6" w:rsidRPr="00B003C5" w:rsidRDefault="001130C6" w:rsidP="0072192F">
            <w:pPr>
              <w:pStyle w:val="Tables"/>
              <w:jc w:val="right"/>
              <w:rPr>
                <w:rFonts w:asciiTheme="minorHAnsi" w:hAnsiTheme="minorHAnsi"/>
                <w:color w:val="000000" w:themeColor="text1"/>
                <w:sz w:val="18"/>
                <w:szCs w:val="18"/>
              </w:rPr>
            </w:pPr>
            <w:r>
              <w:rPr>
                <w:rFonts w:asciiTheme="minorHAnsi" w:hAnsiTheme="minorHAnsi"/>
                <w:color w:val="000000" w:themeColor="text1"/>
                <w:sz w:val="18"/>
                <w:szCs w:val="18"/>
              </w:rPr>
              <w:t>0</w:t>
            </w:r>
          </w:p>
        </w:tc>
      </w:tr>
      <w:tr w:rsidR="001130C6" w:rsidRPr="00750C7A" w14:paraId="4F21E6ED" w14:textId="77777777" w:rsidTr="001130C6">
        <w:tc>
          <w:tcPr>
            <w:tcW w:w="3114" w:type="dxa"/>
          </w:tcPr>
          <w:p w14:paraId="136DDDB9" w14:textId="77777777" w:rsidR="001130C6" w:rsidRPr="00750C7A" w:rsidRDefault="001130C6" w:rsidP="0072192F">
            <w:pPr>
              <w:pStyle w:val="Tables"/>
              <w:rPr>
                <w:rFonts w:asciiTheme="minorHAnsi" w:hAnsiTheme="minorHAnsi"/>
                <w:b/>
                <w:sz w:val="18"/>
                <w:szCs w:val="18"/>
              </w:rPr>
            </w:pPr>
            <w:r w:rsidRPr="00750C7A">
              <w:rPr>
                <w:rFonts w:asciiTheme="minorHAnsi" w:hAnsiTheme="minorHAnsi"/>
                <w:b/>
                <w:sz w:val="18"/>
                <w:szCs w:val="18"/>
              </w:rPr>
              <w:t>Functions (</w:t>
            </w:r>
            <w:proofErr w:type="spellStart"/>
            <w:r w:rsidRPr="00750C7A">
              <w:rPr>
                <w:rFonts w:asciiTheme="minorHAnsi" w:hAnsiTheme="minorHAnsi"/>
                <w:b/>
                <w:sz w:val="18"/>
                <w:szCs w:val="18"/>
              </w:rPr>
              <w:t>PMDRS</w:t>
            </w:r>
            <w:proofErr w:type="spellEnd"/>
            <w:r w:rsidRPr="00750C7A">
              <w:rPr>
                <w:rFonts w:asciiTheme="minorHAnsi" w:hAnsiTheme="minorHAnsi"/>
                <w:b/>
                <w:sz w:val="18"/>
                <w:szCs w:val="18"/>
              </w:rPr>
              <w:t>)</w:t>
            </w:r>
          </w:p>
        </w:tc>
        <w:tc>
          <w:tcPr>
            <w:tcW w:w="1423" w:type="dxa"/>
          </w:tcPr>
          <w:p w14:paraId="78DFB455" w14:textId="77777777" w:rsidR="001130C6" w:rsidRPr="00B003C5" w:rsidRDefault="001130C6" w:rsidP="0072192F">
            <w:pPr>
              <w:pStyle w:val="Tables"/>
              <w:jc w:val="right"/>
              <w:rPr>
                <w:rFonts w:asciiTheme="minorHAnsi" w:hAnsiTheme="minorHAnsi"/>
                <w:color w:val="000000" w:themeColor="text1"/>
                <w:sz w:val="18"/>
                <w:szCs w:val="18"/>
              </w:rPr>
            </w:pPr>
          </w:p>
        </w:tc>
        <w:tc>
          <w:tcPr>
            <w:tcW w:w="1461" w:type="dxa"/>
          </w:tcPr>
          <w:p w14:paraId="39160E93" w14:textId="77777777" w:rsidR="001130C6" w:rsidRPr="00B003C5" w:rsidRDefault="001130C6" w:rsidP="0072192F">
            <w:pPr>
              <w:pStyle w:val="Tables"/>
              <w:jc w:val="right"/>
              <w:rPr>
                <w:rFonts w:asciiTheme="minorHAnsi" w:hAnsiTheme="minorHAnsi"/>
                <w:color w:val="000000" w:themeColor="text1"/>
                <w:sz w:val="18"/>
                <w:szCs w:val="18"/>
              </w:rPr>
            </w:pPr>
          </w:p>
        </w:tc>
        <w:tc>
          <w:tcPr>
            <w:tcW w:w="1403" w:type="dxa"/>
          </w:tcPr>
          <w:p w14:paraId="1E39F43F" w14:textId="77777777" w:rsidR="001130C6" w:rsidRPr="00B003C5" w:rsidRDefault="001130C6" w:rsidP="0072192F">
            <w:pPr>
              <w:pStyle w:val="Tables"/>
              <w:jc w:val="right"/>
              <w:rPr>
                <w:rFonts w:asciiTheme="minorHAnsi" w:hAnsiTheme="minorHAnsi"/>
                <w:color w:val="000000" w:themeColor="text1"/>
                <w:sz w:val="18"/>
                <w:szCs w:val="18"/>
              </w:rPr>
            </w:pPr>
          </w:p>
        </w:tc>
        <w:tc>
          <w:tcPr>
            <w:tcW w:w="1615" w:type="dxa"/>
          </w:tcPr>
          <w:p w14:paraId="305BDC5F" w14:textId="77777777" w:rsidR="001130C6" w:rsidRPr="00B003C5" w:rsidRDefault="001130C6" w:rsidP="0072192F">
            <w:pPr>
              <w:pStyle w:val="Tables"/>
              <w:jc w:val="right"/>
              <w:rPr>
                <w:rFonts w:asciiTheme="minorHAnsi" w:hAnsiTheme="minorHAnsi"/>
                <w:color w:val="000000" w:themeColor="text1"/>
                <w:sz w:val="18"/>
                <w:szCs w:val="18"/>
              </w:rPr>
            </w:pPr>
          </w:p>
        </w:tc>
      </w:tr>
      <w:tr w:rsidR="001130C6" w:rsidRPr="00750C7A" w14:paraId="5DB27E48" w14:textId="77777777" w:rsidTr="001130C6">
        <w:tc>
          <w:tcPr>
            <w:tcW w:w="3114" w:type="dxa"/>
          </w:tcPr>
          <w:p w14:paraId="62A4F7B3" w14:textId="77777777" w:rsidR="001130C6" w:rsidRPr="00750C7A" w:rsidRDefault="001130C6" w:rsidP="0072192F">
            <w:pPr>
              <w:pStyle w:val="Tables"/>
              <w:rPr>
                <w:rFonts w:asciiTheme="minorHAnsi" w:hAnsiTheme="minorHAnsi"/>
                <w:sz w:val="18"/>
                <w:szCs w:val="18"/>
              </w:rPr>
            </w:pPr>
            <w:r w:rsidRPr="00750C7A">
              <w:rPr>
                <w:rFonts w:asciiTheme="minorHAnsi" w:hAnsiTheme="minorHAnsi"/>
                <w:sz w:val="18"/>
                <w:szCs w:val="18"/>
              </w:rPr>
              <w:t>Gait</w:t>
            </w:r>
          </w:p>
        </w:tc>
        <w:tc>
          <w:tcPr>
            <w:tcW w:w="1423" w:type="dxa"/>
          </w:tcPr>
          <w:p w14:paraId="6DBF738D" w14:textId="77777777" w:rsidR="001130C6" w:rsidRPr="00B003C5" w:rsidRDefault="001130C6" w:rsidP="0072192F">
            <w:pPr>
              <w:pStyle w:val="Tables"/>
              <w:jc w:val="right"/>
              <w:rPr>
                <w:rFonts w:asciiTheme="minorHAnsi" w:hAnsiTheme="minorHAnsi"/>
                <w:color w:val="000000" w:themeColor="text1"/>
                <w:sz w:val="18"/>
                <w:szCs w:val="18"/>
              </w:rPr>
            </w:pPr>
            <w:r w:rsidRPr="00B003C5">
              <w:rPr>
                <w:rFonts w:asciiTheme="minorHAnsi" w:hAnsiTheme="minorHAnsi"/>
                <w:color w:val="000000" w:themeColor="text1"/>
                <w:sz w:val="18"/>
                <w:szCs w:val="18"/>
              </w:rPr>
              <w:t>41</w:t>
            </w:r>
          </w:p>
        </w:tc>
        <w:tc>
          <w:tcPr>
            <w:tcW w:w="1461" w:type="dxa"/>
          </w:tcPr>
          <w:p w14:paraId="64C0ED25" w14:textId="77777777" w:rsidR="001130C6" w:rsidRPr="00B003C5" w:rsidRDefault="001130C6" w:rsidP="0072192F">
            <w:pPr>
              <w:pStyle w:val="Tables"/>
              <w:jc w:val="right"/>
              <w:rPr>
                <w:rFonts w:asciiTheme="minorHAnsi" w:hAnsiTheme="minorHAnsi"/>
                <w:color w:val="000000" w:themeColor="text1"/>
                <w:sz w:val="18"/>
                <w:szCs w:val="18"/>
              </w:rPr>
            </w:pPr>
            <w:r w:rsidRPr="00B003C5">
              <w:rPr>
                <w:rFonts w:asciiTheme="minorHAnsi" w:hAnsiTheme="minorHAnsi"/>
                <w:color w:val="000000" w:themeColor="text1"/>
                <w:sz w:val="18"/>
                <w:szCs w:val="18"/>
              </w:rPr>
              <w:t>37</w:t>
            </w:r>
          </w:p>
        </w:tc>
        <w:tc>
          <w:tcPr>
            <w:tcW w:w="1403" w:type="dxa"/>
          </w:tcPr>
          <w:p w14:paraId="58568745" w14:textId="77777777" w:rsidR="001130C6" w:rsidRPr="00B003C5" w:rsidRDefault="001130C6" w:rsidP="0072192F">
            <w:pPr>
              <w:pStyle w:val="Tables"/>
              <w:jc w:val="right"/>
              <w:rPr>
                <w:rFonts w:asciiTheme="minorHAnsi" w:hAnsiTheme="minorHAnsi"/>
                <w:color w:val="000000" w:themeColor="text1"/>
                <w:sz w:val="18"/>
                <w:szCs w:val="18"/>
              </w:rPr>
            </w:pPr>
            <w:r w:rsidRPr="00B003C5">
              <w:rPr>
                <w:rFonts w:asciiTheme="minorHAnsi" w:hAnsiTheme="minorHAnsi"/>
                <w:color w:val="000000" w:themeColor="text1"/>
                <w:sz w:val="18"/>
                <w:szCs w:val="18"/>
              </w:rPr>
              <w:t>43</w:t>
            </w:r>
          </w:p>
        </w:tc>
        <w:tc>
          <w:tcPr>
            <w:tcW w:w="1615" w:type="dxa"/>
          </w:tcPr>
          <w:p w14:paraId="0A905250" w14:textId="77777777" w:rsidR="001130C6" w:rsidRPr="00B003C5" w:rsidRDefault="001130C6" w:rsidP="0072192F">
            <w:pPr>
              <w:pStyle w:val="Tables"/>
              <w:jc w:val="right"/>
              <w:rPr>
                <w:rFonts w:asciiTheme="minorHAnsi" w:hAnsiTheme="minorHAnsi"/>
                <w:color w:val="000000" w:themeColor="text1"/>
                <w:sz w:val="18"/>
                <w:szCs w:val="18"/>
              </w:rPr>
            </w:pPr>
            <w:r w:rsidRPr="00B003C5">
              <w:rPr>
                <w:rFonts w:asciiTheme="minorHAnsi" w:hAnsiTheme="minorHAnsi"/>
                <w:color w:val="000000" w:themeColor="text1"/>
                <w:sz w:val="18"/>
                <w:szCs w:val="18"/>
              </w:rPr>
              <w:t>0.70 (0.62, 0.78)</w:t>
            </w:r>
          </w:p>
        </w:tc>
      </w:tr>
      <w:tr w:rsidR="001130C6" w:rsidRPr="00750C7A" w14:paraId="0190A773" w14:textId="77777777" w:rsidTr="001130C6">
        <w:tc>
          <w:tcPr>
            <w:tcW w:w="3114" w:type="dxa"/>
          </w:tcPr>
          <w:p w14:paraId="23A38B57" w14:textId="77777777" w:rsidR="001130C6" w:rsidRPr="00750C7A" w:rsidRDefault="001130C6" w:rsidP="0072192F">
            <w:pPr>
              <w:pStyle w:val="Tables"/>
              <w:rPr>
                <w:rFonts w:asciiTheme="minorHAnsi" w:hAnsiTheme="minorHAnsi"/>
                <w:sz w:val="18"/>
                <w:szCs w:val="18"/>
              </w:rPr>
            </w:pPr>
            <w:r w:rsidRPr="00750C7A">
              <w:rPr>
                <w:rFonts w:asciiTheme="minorHAnsi" w:hAnsiTheme="minorHAnsi"/>
                <w:sz w:val="18"/>
                <w:szCs w:val="18"/>
              </w:rPr>
              <w:t>Speech</w:t>
            </w:r>
          </w:p>
        </w:tc>
        <w:tc>
          <w:tcPr>
            <w:tcW w:w="1423" w:type="dxa"/>
          </w:tcPr>
          <w:p w14:paraId="542553C2" w14:textId="77777777" w:rsidR="001130C6" w:rsidRPr="00B003C5" w:rsidRDefault="001130C6" w:rsidP="0072192F">
            <w:pPr>
              <w:pStyle w:val="Tables"/>
              <w:jc w:val="right"/>
              <w:rPr>
                <w:rFonts w:asciiTheme="minorHAnsi" w:hAnsiTheme="minorHAnsi"/>
                <w:color w:val="000000" w:themeColor="text1"/>
                <w:sz w:val="18"/>
                <w:szCs w:val="18"/>
              </w:rPr>
            </w:pPr>
            <w:r w:rsidRPr="00B003C5">
              <w:rPr>
                <w:rFonts w:asciiTheme="minorHAnsi" w:hAnsiTheme="minorHAnsi"/>
                <w:color w:val="000000" w:themeColor="text1"/>
                <w:sz w:val="18"/>
                <w:szCs w:val="18"/>
              </w:rPr>
              <w:t>8</w:t>
            </w:r>
          </w:p>
        </w:tc>
        <w:tc>
          <w:tcPr>
            <w:tcW w:w="1461" w:type="dxa"/>
          </w:tcPr>
          <w:p w14:paraId="370B1A6F" w14:textId="77777777" w:rsidR="001130C6" w:rsidRPr="00B003C5" w:rsidRDefault="001130C6" w:rsidP="0072192F">
            <w:pPr>
              <w:pStyle w:val="Tables"/>
              <w:jc w:val="right"/>
              <w:rPr>
                <w:rFonts w:asciiTheme="minorHAnsi" w:hAnsiTheme="minorHAnsi"/>
                <w:color w:val="000000" w:themeColor="text1"/>
                <w:sz w:val="18"/>
                <w:szCs w:val="18"/>
              </w:rPr>
            </w:pPr>
            <w:r w:rsidRPr="00B003C5">
              <w:rPr>
                <w:rFonts w:asciiTheme="minorHAnsi" w:hAnsiTheme="minorHAnsi"/>
                <w:color w:val="000000" w:themeColor="text1"/>
                <w:sz w:val="18"/>
                <w:szCs w:val="18"/>
              </w:rPr>
              <w:t>7</w:t>
            </w:r>
          </w:p>
        </w:tc>
        <w:tc>
          <w:tcPr>
            <w:tcW w:w="1403" w:type="dxa"/>
          </w:tcPr>
          <w:p w14:paraId="4001EFD0" w14:textId="77777777" w:rsidR="001130C6" w:rsidRPr="00B003C5" w:rsidRDefault="001130C6" w:rsidP="0072192F">
            <w:pPr>
              <w:pStyle w:val="Tables"/>
              <w:jc w:val="right"/>
              <w:rPr>
                <w:rFonts w:asciiTheme="minorHAnsi" w:hAnsiTheme="minorHAnsi"/>
                <w:color w:val="000000" w:themeColor="text1"/>
                <w:sz w:val="18"/>
                <w:szCs w:val="18"/>
              </w:rPr>
            </w:pPr>
            <w:r w:rsidRPr="00B003C5">
              <w:rPr>
                <w:rFonts w:asciiTheme="minorHAnsi" w:hAnsiTheme="minorHAnsi"/>
                <w:color w:val="000000" w:themeColor="text1"/>
                <w:sz w:val="18"/>
                <w:szCs w:val="18"/>
              </w:rPr>
              <w:t>11</w:t>
            </w:r>
          </w:p>
        </w:tc>
        <w:tc>
          <w:tcPr>
            <w:tcW w:w="1615" w:type="dxa"/>
          </w:tcPr>
          <w:p w14:paraId="2559D016" w14:textId="77777777" w:rsidR="001130C6" w:rsidRPr="00B003C5" w:rsidRDefault="001130C6" w:rsidP="0072192F">
            <w:pPr>
              <w:pStyle w:val="Tables"/>
              <w:jc w:val="right"/>
              <w:rPr>
                <w:rFonts w:asciiTheme="minorHAnsi" w:hAnsiTheme="minorHAnsi"/>
                <w:color w:val="000000" w:themeColor="text1"/>
                <w:sz w:val="18"/>
                <w:szCs w:val="18"/>
              </w:rPr>
            </w:pPr>
            <w:r w:rsidRPr="00B003C5">
              <w:rPr>
                <w:rFonts w:asciiTheme="minorHAnsi" w:hAnsiTheme="minorHAnsi"/>
                <w:color w:val="000000" w:themeColor="text1"/>
                <w:sz w:val="18"/>
                <w:szCs w:val="18"/>
              </w:rPr>
              <w:t>0.66 (0.57, 0.76)</w:t>
            </w:r>
          </w:p>
        </w:tc>
      </w:tr>
      <w:tr w:rsidR="001130C6" w:rsidRPr="00750C7A" w14:paraId="050E4374" w14:textId="77777777" w:rsidTr="001130C6">
        <w:tc>
          <w:tcPr>
            <w:tcW w:w="3114" w:type="dxa"/>
          </w:tcPr>
          <w:p w14:paraId="257496E2" w14:textId="77777777" w:rsidR="001130C6" w:rsidRPr="00750C7A" w:rsidRDefault="001130C6" w:rsidP="0072192F">
            <w:pPr>
              <w:pStyle w:val="Tables"/>
              <w:rPr>
                <w:rFonts w:asciiTheme="minorHAnsi" w:hAnsiTheme="minorHAnsi"/>
                <w:b/>
                <w:sz w:val="18"/>
                <w:szCs w:val="18"/>
              </w:rPr>
            </w:pPr>
            <w:r w:rsidRPr="00750C7A">
              <w:rPr>
                <w:rFonts w:asciiTheme="minorHAnsi" w:hAnsiTheme="minorHAnsi"/>
                <w:b/>
                <w:sz w:val="18"/>
                <w:szCs w:val="18"/>
              </w:rPr>
              <w:t>Body Region (</w:t>
            </w:r>
            <w:proofErr w:type="spellStart"/>
            <w:r w:rsidRPr="00750C7A">
              <w:rPr>
                <w:rFonts w:asciiTheme="minorHAnsi" w:hAnsiTheme="minorHAnsi"/>
                <w:b/>
                <w:sz w:val="18"/>
                <w:szCs w:val="18"/>
              </w:rPr>
              <w:t>PMDRS</w:t>
            </w:r>
            <w:proofErr w:type="spellEnd"/>
            <w:r w:rsidRPr="00750C7A">
              <w:rPr>
                <w:rFonts w:asciiTheme="minorHAnsi" w:hAnsiTheme="minorHAnsi"/>
                <w:b/>
                <w:sz w:val="18"/>
                <w:szCs w:val="18"/>
              </w:rPr>
              <w:t>)</w:t>
            </w:r>
          </w:p>
        </w:tc>
        <w:tc>
          <w:tcPr>
            <w:tcW w:w="1423" w:type="dxa"/>
          </w:tcPr>
          <w:p w14:paraId="04CD271C" w14:textId="77777777" w:rsidR="001130C6" w:rsidRPr="00557EA9" w:rsidRDefault="001130C6" w:rsidP="0072192F">
            <w:pPr>
              <w:pStyle w:val="Tables"/>
              <w:jc w:val="right"/>
              <w:rPr>
                <w:rFonts w:asciiTheme="minorHAnsi" w:hAnsiTheme="minorHAnsi"/>
                <w:color w:val="FF0000"/>
                <w:sz w:val="18"/>
                <w:szCs w:val="18"/>
              </w:rPr>
            </w:pPr>
          </w:p>
        </w:tc>
        <w:tc>
          <w:tcPr>
            <w:tcW w:w="1461" w:type="dxa"/>
          </w:tcPr>
          <w:p w14:paraId="4D621555" w14:textId="77777777" w:rsidR="001130C6" w:rsidRPr="00557EA9" w:rsidRDefault="001130C6" w:rsidP="0072192F">
            <w:pPr>
              <w:pStyle w:val="Tables"/>
              <w:jc w:val="right"/>
              <w:rPr>
                <w:rFonts w:asciiTheme="minorHAnsi" w:hAnsiTheme="minorHAnsi"/>
                <w:color w:val="FF0000"/>
                <w:sz w:val="18"/>
                <w:szCs w:val="18"/>
              </w:rPr>
            </w:pPr>
          </w:p>
        </w:tc>
        <w:tc>
          <w:tcPr>
            <w:tcW w:w="1403" w:type="dxa"/>
          </w:tcPr>
          <w:p w14:paraId="46D929E5" w14:textId="77777777" w:rsidR="001130C6" w:rsidRPr="00557EA9" w:rsidRDefault="001130C6" w:rsidP="0072192F">
            <w:pPr>
              <w:pStyle w:val="Tables"/>
              <w:jc w:val="right"/>
              <w:rPr>
                <w:rFonts w:asciiTheme="minorHAnsi" w:hAnsiTheme="minorHAnsi"/>
                <w:color w:val="FF0000"/>
                <w:sz w:val="18"/>
                <w:szCs w:val="18"/>
              </w:rPr>
            </w:pPr>
          </w:p>
        </w:tc>
        <w:tc>
          <w:tcPr>
            <w:tcW w:w="1615" w:type="dxa"/>
          </w:tcPr>
          <w:p w14:paraId="1429076B" w14:textId="77777777" w:rsidR="001130C6" w:rsidRPr="00557EA9" w:rsidRDefault="001130C6" w:rsidP="0072192F">
            <w:pPr>
              <w:pStyle w:val="Tables"/>
              <w:jc w:val="right"/>
              <w:rPr>
                <w:rFonts w:asciiTheme="minorHAnsi" w:hAnsiTheme="minorHAnsi"/>
                <w:color w:val="FF0000"/>
                <w:sz w:val="18"/>
                <w:szCs w:val="18"/>
              </w:rPr>
            </w:pPr>
          </w:p>
        </w:tc>
      </w:tr>
      <w:tr w:rsidR="001130C6" w:rsidRPr="00750C7A" w14:paraId="413647E8" w14:textId="77777777" w:rsidTr="001130C6">
        <w:tc>
          <w:tcPr>
            <w:tcW w:w="3114" w:type="dxa"/>
          </w:tcPr>
          <w:p w14:paraId="0F3E79BB" w14:textId="77777777" w:rsidR="001130C6" w:rsidRPr="00750C7A" w:rsidRDefault="001130C6" w:rsidP="0072192F">
            <w:pPr>
              <w:pStyle w:val="Tables"/>
              <w:rPr>
                <w:rFonts w:asciiTheme="minorHAnsi" w:hAnsiTheme="minorHAnsi"/>
                <w:sz w:val="18"/>
                <w:szCs w:val="18"/>
              </w:rPr>
            </w:pPr>
            <w:r w:rsidRPr="00750C7A">
              <w:rPr>
                <w:rFonts w:asciiTheme="minorHAnsi" w:hAnsiTheme="minorHAnsi"/>
                <w:sz w:val="18"/>
                <w:szCs w:val="18"/>
              </w:rPr>
              <w:t>Upper face</w:t>
            </w:r>
          </w:p>
        </w:tc>
        <w:tc>
          <w:tcPr>
            <w:tcW w:w="1423" w:type="dxa"/>
          </w:tcPr>
          <w:p w14:paraId="6AD0C470" w14:textId="77777777" w:rsidR="001130C6" w:rsidRPr="001F78E3" w:rsidRDefault="001130C6" w:rsidP="0072192F">
            <w:pPr>
              <w:pStyle w:val="Tables"/>
              <w:jc w:val="right"/>
              <w:rPr>
                <w:rFonts w:asciiTheme="minorHAnsi" w:hAnsiTheme="minorHAnsi"/>
                <w:color w:val="000000" w:themeColor="text1"/>
                <w:sz w:val="18"/>
                <w:szCs w:val="18"/>
              </w:rPr>
            </w:pPr>
            <w:r w:rsidRPr="001F78E3">
              <w:rPr>
                <w:rFonts w:asciiTheme="minorHAnsi" w:hAnsiTheme="minorHAnsi"/>
                <w:color w:val="000000" w:themeColor="text1"/>
                <w:sz w:val="18"/>
                <w:szCs w:val="18"/>
              </w:rPr>
              <w:t>6</w:t>
            </w:r>
          </w:p>
        </w:tc>
        <w:tc>
          <w:tcPr>
            <w:tcW w:w="1461" w:type="dxa"/>
          </w:tcPr>
          <w:p w14:paraId="660CDDCB" w14:textId="77777777" w:rsidR="001130C6" w:rsidRPr="001F78E3" w:rsidRDefault="001130C6" w:rsidP="0072192F">
            <w:pPr>
              <w:pStyle w:val="Tables"/>
              <w:jc w:val="right"/>
              <w:rPr>
                <w:rFonts w:asciiTheme="minorHAnsi" w:hAnsiTheme="minorHAnsi"/>
                <w:color w:val="000000" w:themeColor="text1"/>
                <w:sz w:val="18"/>
                <w:szCs w:val="18"/>
              </w:rPr>
            </w:pPr>
            <w:r w:rsidRPr="001F78E3">
              <w:rPr>
                <w:rFonts w:asciiTheme="minorHAnsi" w:hAnsiTheme="minorHAnsi"/>
                <w:color w:val="000000" w:themeColor="text1"/>
                <w:sz w:val="18"/>
                <w:szCs w:val="18"/>
              </w:rPr>
              <w:t>9</w:t>
            </w:r>
          </w:p>
        </w:tc>
        <w:tc>
          <w:tcPr>
            <w:tcW w:w="1403" w:type="dxa"/>
          </w:tcPr>
          <w:p w14:paraId="16A59E2C" w14:textId="77777777" w:rsidR="001130C6" w:rsidRPr="001F78E3" w:rsidRDefault="001130C6" w:rsidP="0072192F">
            <w:pPr>
              <w:pStyle w:val="Tables"/>
              <w:jc w:val="right"/>
              <w:rPr>
                <w:rFonts w:asciiTheme="minorHAnsi" w:hAnsiTheme="minorHAnsi"/>
                <w:color w:val="000000" w:themeColor="text1"/>
                <w:sz w:val="18"/>
                <w:szCs w:val="18"/>
              </w:rPr>
            </w:pPr>
            <w:r w:rsidRPr="001F78E3">
              <w:rPr>
                <w:rFonts w:asciiTheme="minorHAnsi" w:hAnsiTheme="minorHAnsi"/>
                <w:color w:val="000000" w:themeColor="text1"/>
                <w:sz w:val="18"/>
                <w:szCs w:val="18"/>
              </w:rPr>
              <w:t>12</w:t>
            </w:r>
          </w:p>
        </w:tc>
        <w:tc>
          <w:tcPr>
            <w:tcW w:w="1615" w:type="dxa"/>
          </w:tcPr>
          <w:p w14:paraId="6AB1C743" w14:textId="77777777" w:rsidR="001130C6" w:rsidRPr="006278E3" w:rsidRDefault="001130C6" w:rsidP="0072192F">
            <w:pPr>
              <w:pStyle w:val="Tables"/>
              <w:jc w:val="right"/>
              <w:rPr>
                <w:rFonts w:asciiTheme="minorHAnsi" w:hAnsiTheme="minorHAnsi"/>
                <w:color w:val="000000" w:themeColor="text1"/>
                <w:sz w:val="18"/>
                <w:szCs w:val="18"/>
              </w:rPr>
            </w:pPr>
            <w:r w:rsidRPr="006278E3">
              <w:rPr>
                <w:rFonts w:asciiTheme="minorHAnsi" w:hAnsiTheme="minorHAnsi"/>
                <w:color w:val="000000" w:themeColor="text1"/>
                <w:sz w:val="18"/>
                <w:szCs w:val="18"/>
              </w:rPr>
              <w:t>0.33 (0.28, 0.38)</w:t>
            </w:r>
          </w:p>
        </w:tc>
      </w:tr>
      <w:tr w:rsidR="001130C6" w:rsidRPr="00750C7A" w14:paraId="6418B6B6" w14:textId="77777777" w:rsidTr="001130C6">
        <w:tc>
          <w:tcPr>
            <w:tcW w:w="3114" w:type="dxa"/>
          </w:tcPr>
          <w:p w14:paraId="5A715EB4" w14:textId="77777777" w:rsidR="001130C6" w:rsidRPr="00750C7A" w:rsidRDefault="001130C6" w:rsidP="0072192F">
            <w:pPr>
              <w:pStyle w:val="Tables"/>
              <w:rPr>
                <w:rFonts w:asciiTheme="minorHAnsi" w:hAnsiTheme="minorHAnsi"/>
                <w:sz w:val="18"/>
                <w:szCs w:val="18"/>
              </w:rPr>
            </w:pPr>
            <w:r w:rsidRPr="00750C7A">
              <w:rPr>
                <w:rFonts w:asciiTheme="minorHAnsi" w:hAnsiTheme="minorHAnsi"/>
                <w:sz w:val="18"/>
                <w:szCs w:val="18"/>
              </w:rPr>
              <w:t>Lips</w:t>
            </w:r>
          </w:p>
        </w:tc>
        <w:tc>
          <w:tcPr>
            <w:tcW w:w="1423" w:type="dxa"/>
          </w:tcPr>
          <w:p w14:paraId="4A4B0DE9" w14:textId="77777777" w:rsidR="001130C6" w:rsidRPr="001F78E3" w:rsidRDefault="001130C6" w:rsidP="0072192F">
            <w:pPr>
              <w:pStyle w:val="Tables"/>
              <w:jc w:val="right"/>
              <w:rPr>
                <w:rFonts w:asciiTheme="minorHAnsi" w:hAnsiTheme="minorHAnsi"/>
                <w:color w:val="000000" w:themeColor="text1"/>
                <w:sz w:val="18"/>
                <w:szCs w:val="18"/>
              </w:rPr>
            </w:pPr>
            <w:r w:rsidRPr="001F78E3">
              <w:rPr>
                <w:rFonts w:asciiTheme="minorHAnsi" w:hAnsiTheme="minorHAnsi"/>
                <w:color w:val="000000" w:themeColor="text1"/>
                <w:sz w:val="18"/>
                <w:szCs w:val="18"/>
              </w:rPr>
              <w:t>6</w:t>
            </w:r>
          </w:p>
        </w:tc>
        <w:tc>
          <w:tcPr>
            <w:tcW w:w="1461" w:type="dxa"/>
          </w:tcPr>
          <w:p w14:paraId="3C617A69" w14:textId="77777777" w:rsidR="001130C6" w:rsidRPr="001F78E3" w:rsidRDefault="001130C6" w:rsidP="0072192F">
            <w:pPr>
              <w:pStyle w:val="Tables"/>
              <w:jc w:val="right"/>
              <w:rPr>
                <w:rFonts w:asciiTheme="minorHAnsi" w:hAnsiTheme="minorHAnsi"/>
                <w:color w:val="000000" w:themeColor="text1"/>
                <w:sz w:val="18"/>
                <w:szCs w:val="18"/>
              </w:rPr>
            </w:pPr>
            <w:r w:rsidRPr="001F78E3">
              <w:rPr>
                <w:rFonts w:asciiTheme="minorHAnsi" w:hAnsiTheme="minorHAnsi"/>
                <w:color w:val="000000" w:themeColor="text1"/>
                <w:sz w:val="18"/>
                <w:szCs w:val="18"/>
              </w:rPr>
              <w:t>11</w:t>
            </w:r>
          </w:p>
        </w:tc>
        <w:tc>
          <w:tcPr>
            <w:tcW w:w="1403" w:type="dxa"/>
          </w:tcPr>
          <w:p w14:paraId="02A1F506" w14:textId="77777777" w:rsidR="001130C6" w:rsidRPr="001F78E3" w:rsidRDefault="001130C6" w:rsidP="0072192F">
            <w:pPr>
              <w:pStyle w:val="Tables"/>
              <w:jc w:val="right"/>
              <w:rPr>
                <w:rFonts w:asciiTheme="minorHAnsi" w:hAnsiTheme="minorHAnsi"/>
                <w:color w:val="000000" w:themeColor="text1"/>
                <w:sz w:val="18"/>
                <w:szCs w:val="18"/>
              </w:rPr>
            </w:pPr>
            <w:r w:rsidRPr="001F78E3">
              <w:rPr>
                <w:rFonts w:asciiTheme="minorHAnsi" w:hAnsiTheme="minorHAnsi"/>
                <w:color w:val="000000" w:themeColor="text1"/>
                <w:sz w:val="18"/>
                <w:szCs w:val="18"/>
              </w:rPr>
              <w:t>10</w:t>
            </w:r>
          </w:p>
        </w:tc>
        <w:tc>
          <w:tcPr>
            <w:tcW w:w="1615" w:type="dxa"/>
          </w:tcPr>
          <w:p w14:paraId="1A41A9B8" w14:textId="77777777" w:rsidR="001130C6" w:rsidRPr="006278E3" w:rsidRDefault="001130C6" w:rsidP="0072192F">
            <w:pPr>
              <w:pStyle w:val="Tables"/>
              <w:jc w:val="right"/>
              <w:rPr>
                <w:rFonts w:asciiTheme="minorHAnsi" w:hAnsiTheme="minorHAnsi"/>
                <w:color w:val="000000" w:themeColor="text1"/>
                <w:sz w:val="18"/>
                <w:szCs w:val="18"/>
              </w:rPr>
            </w:pPr>
            <w:r>
              <w:rPr>
                <w:rFonts w:asciiTheme="minorHAnsi" w:hAnsiTheme="minorHAnsi"/>
                <w:color w:val="000000" w:themeColor="text1"/>
                <w:sz w:val="18"/>
                <w:szCs w:val="18"/>
              </w:rPr>
              <w:t>0.55 (0.47, 0.56</w:t>
            </w:r>
            <w:r w:rsidRPr="006278E3">
              <w:rPr>
                <w:rFonts w:asciiTheme="minorHAnsi" w:hAnsiTheme="minorHAnsi"/>
                <w:color w:val="000000" w:themeColor="text1"/>
                <w:sz w:val="18"/>
                <w:szCs w:val="18"/>
              </w:rPr>
              <w:t>)</w:t>
            </w:r>
          </w:p>
        </w:tc>
      </w:tr>
      <w:tr w:rsidR="001130C6" w:rsidRPr="00750C7A" w14:paraId="3DFCB715" w14:textId="77777777" w:rsidTr="001130C6">
        <w:tc>
          <w:tcPr>
            <w:tcW w:w="3114" w:type="dxa"/>
          </w:tcPr>
          <w:p w14:paraId="23263DCF" w14:textId="77777777" w:rsidR="001130C6" w:rsidRPr="00750C7A" w:rsidRDefault="001130C6" w:rsidP="0072192F">
            <w:pPr>
              <w:pStyle w:val="Tables"/>
              <w:rPr>
                <w:rFonts w:asciiTheme="minorHAnsi" w:hAnsiTheme="minorHAnsi"/>
                <w:sz w:val="18"/>
                <w:szCs w:val="18"/>
              </w:rPr>
            </w:pPr>
            <w:r w:rsidRPr="00750C7A">
              <w:rPr>
                <w:rFonts w:asciiTheme="minorHAnsi" w:hAnsiTheme="minorHAnsi"/>
                <w:sz w:val="18"/>
                <w:szCs w:val="18"/>
              </w:rPr>
              <w:t>Jaw</w:t>
            </w:r>
          </w:p>
        </w:tc>
        <w:tc>
          <w:tcPr>
            <w:tcW w:w="1423" w:type="dxa"/>
          </w:tcPr>
          <w:p w14:paraId="0D1DF1F0" w14:textId="77777777" w:rsidR="001130C6" w:rsidRPr="001F78E3" w:rsidRDefault="001130C6" w:rsidP="0072192F">
            <w:pPr>
              <w:pStyle w:val="Tables"/>
              <w:jc w:val="right"/>
              <w:rPr>
                <w:rFonts w:asciiTheme="minorHAnsi" w:hAnsiTheme="minorHAnsi"/>
                <w:color w:val="000000" w:themeColor="text1"/>
                <w:sz w:val="18"/>
                <w:szCs w:val="18"/>
              </w:rPr>
            </w:pPr>
            <w:r w:rsidRPr="001F78E3">
              <w:rPr>
                <w:rFonts w:asciiTheme="minorHAnsi" w:hAnsiTheme="minorHAnsi"/>
                <w:color w:val="000000" w:themeColor="text1"/>
                <w:sz w:val="18"/>
                <w:szCs w:val="18"/>
              </w:rPr>
              <w:t>1</w:t>
            </w:r>
          </w:p>
        </w:tc>
        <w:tc>
          <w:tcPr>
            <w:tcW w:w="1461" w:type="dxa"/>
          </w:tcPr>
          <w:p w14:paraId="50D73F75" w14:textId="77777777" w:rsidR="001130C6" w:rsidRPr="001F78E3" w:rsidRDefault="001130C6" w:rsidP="0072192F">
            <w:pPr>
              <w:pStyle w:val="Tables"/>
              <w:jc w:val="right"/>
              <w:rPr>
                <w:rFonts w:asciiTheme="minorHAnsi" w:hAnsiTheme="minorHAnsi"/>
                <w:color w:val="000000" w:themeColor="text1"/>
                <w:sz w:val="18"/>
                <w:szCs w:val="18"/>
              </w:rPr>
            </w:pPr>
            <w:r w:rsidRPr="001F78E3">
              <w:rPr>
                <w:rFonts w:asciiTheme="minorHAnsi" w:hAnsiTheme="minorHAnsi"/>
                <w:color w:val="000000" w:themeColor="text1"/>
                <w:sz w:val="18"/>
                <w:szCs w:val="18"/>
              </w:rPr>
              <w:t>0</w:t>
            </w:r>
          </w:p>
        </w:tc>
        <w:tc>
          <w:tcPr>
            <w:tcW w:w="1403" w:type="dxa"/>
          </w:tcPr>
          <w:p w14:paraId="6CAA38FA" w14:textId="77777777" w:rsidR="001130C6" w:rsidRPr="001F78E3" w:rsidRDefault="001130C6" w:rsidP="0072192F">
            <w:pPr>
              <w:pStyle w:val="Tables"/>
              <w:jc w:val="right"/>
              <w:rPr>
                <w:rFonts w:asciiTheme="minorHAnsi" w:hAnsiTheme="minorHAnsi"/>
                <w:color w:val="000000" w:themeColor="text1"/>
                <w:sz w:val="18"/>
                <w:szCs w:val="18"/>
              </w:rPr>
            </w:pPr>
            <w:r w:rsidRPr="001F78E3">
              <w:rPr>
                <w:rFonts w:asciiTheme="minorHAnsi" w:hAnsiTheme="minorHAnsi"/>
                <w:color w:val="000000" w:themeColor="text1"/>
                <w:sz w:val="18"/>
                <w:szCs w:val="18"/>
              </w:rPr>
              <w:t>5</w:t>
            </w:r>
          </w:p>
        </w:tc>
        <w:tc>
          <w:tcPr>
            <w:tcW w:w="1615" w:type="dxa"/>
          </w:tcPr>
          <w:p w14:paraId="5958C7FA" w14:textId="77777777" w:rsidR="001130C6" w:rsidRPr="006278E3" w:rsidRDefault="001130C6" w:rsidP="0072192F">
            <w:pPr>
              <w:pStyle w:val="Tables"/>
              <w:jc w:val="right"/>
              <w:rPr>
                <w:rFonts w:asciiTheme="minorHAnsi" w:hAnsiTheme="minorHAnsi"/>
                <w:color w:val="000000" w:themeColor="text1"/>
                <w:sz w:val="18"/>
                <w:szCs w:val="18"/>
              </w:rPr>
            </w:pPr>
            <w:r>
              <w:rPr>
                <w:rFonts w:asciiTheme="minorHAnsi" w:hAnsiTheme="minorHAnsi"/>
                <w:color w:val="000000" w:themeColor="text1"/>
                <w:sz w:val="18"/>
                <w:szCs w:val="18"/>
              </w:rPr>
              <w:t>0.10 (0.09, 0.11)</w:t>
            </w:r>
          </w:p>
        </w:tc>
      </w:tr>
      <w:tr w:rsidR="001130C6" w:rsidRPr="00750C7A" w14:paraId="7A6F4447" w14:textId="77777777" w:rsidTr="001130C6">
        <w:tc>
          <w:tcPr>
            <w:tcW w:w="3114" w:type="dxa"/>
          </w:tcPr>
          <w:p w14:paraId="230884BC" w14:textId="77777777" w:rsidR="001130C6" w:rsidRPr="00750C7A" w:rsidRDefault="001130C6" w:rsidP="0072192F">
            <w:pPr>
              <w:pStyle w:val="Tables"/>
              <w:rPr>
                <w:rFonts w:asciiTheme="minorHAnsi" w:hAnsiTheme="minorHAnsi"/>
                <w:sz w:val="18"/>
                <w:szCs w:val="18"/>
              </w:rPr>
            </w:pPr>
            <w:r w:rsidRPr="00750C7A">
              <w:rPr>
                <w:rFonts w:asciiTheme="minorHAnsi" w:hAnsiTheme="minorHAnsi"/>
                <w:sz w:val="18"/>
                <w:szCs w:val="18"/>
              </w:rPr>
              <w:t>Tongue</w:t>
            </w:r>
          </w:p>
        </w:tc>
        <w:tc>
          <w:tcPr>
            <w:tcW w:w="1423" w:type="dxa"/>
          </w:tcPr>
          <w:p w14:paraId="18D8ED8D" w14:textId="77777777" w:rsidR="001130C6" w:rsidRPr="001F78E3" w:rsidRDefault="001130C6" w:rsidP="0072192F">
            <w:pPr>
              <w:pStyle w:val="Tables"/>
              <w:jc w:val="right"/>
              <w:rPr>
                <w:rFonts w:asciiTheme="minorHAnsi" w:hAnsiTheme="minorHAnsi"/>
                <w:color w:val="000000" w:themeColor="text1"/>
                <w:sz w:val="18"/>
                <w:szCs w:val="18"/>
              </w:rPr>
            </w:pPr>
            <w:r w:rsidRPr="001F78E3">
              <w:rPr>
                <w:rFonts w:asciiTheme="minorHAnsi" w:hAnsiTheme="minorHAnsi"/>
                <w:color w:val="000000" w:themeColor="text1"/>
                <w:sz w:val="18"/>
                <w:szCs w:val="18"/>
              </w:rPr>
              <w:t>0</w:t>
            </w:r>
          </w:p>
        </w:tc>
        <w:tc>
          <w:tcPr>
            <w:tcW w:w="1461" w:type="dxa"/>
          </w:tcPr>
          <w:p w14:paraId="551DF81D" w14:textId="77777777" w:rsidR="001130C6" w:rsidRPr="001F78E3" w:rsidRDefault="001130C6" w:rsidP="0072192F">
            <w:pPr>
              <w:pStyle w:val="Tables"/>
              <w:jc w:val="right"/>
              <w:rPr>
                <w:rFonts w:asciiTheme="minorHAnsi" w:hAnsiTheme="minorHAnsi"/>
                <w:color w:val="000000" w:themeColor="text1"/>
                <w:sz w:val="18"/>
                <w:szCs w:val="18"/>
              </w:rPr>
            </w:pPr>
            <w:r w:rsidRPr="001F78E3">
              <w:rPr>
                <w:rFonts w:asciiTheme="minorHAnsi" w:hAnsiTheme="minorHAnsi"/>
                <w:color w:val="000000" w:themeColor="text1"/>
                <w:sz w:val="18"/>
                <w:szCs w:val="18"/>
              </w:rPr>
              <w:t>0</w:t>
            </w:r>
          </w:p>
        </w:tc>
        <w:tc>
          <w:tcPr>
            <w:tcW w:w="1403" w:type="dxa"/>
          </w:tcPr>
          <w:p w14:paraId="79C44BB8" w14:textId="77777777" w:rsidR="001130C6" w:rsidRPr="001F78E3" w:rsidRDefault="001130C6" w:rsidP="0072192F">
            <w:pPr>
              <w:pStyle w:val="Tables"/>
              <w:jc w:val="right"/>
              <w:rPr>
                <w:rFonts w:asciiTheme="minorHAnsi" w:hAnsiTheme="minorHAnsi"/>
                <w:color w:val="000000" w:themeColor="text1"/>
                <w:sz w:val="18"/>
                <w:szCs w:val="18"/>
              </w:rPr>
            </w:pPr>
            <w:r w:rsidRPr="001F78E3">
              <w:rPr>
                <w:rFonts w:asciiTheme="minorHAnsi" w:hAnsiTheme="minorHAnsi"/>
                <w:color w:val="000000" w:themeColor="text1"/>
                <w:sz w:val="18"/>
                <w:szCs w:val="18"/>
              </w:rPr>
              <w:t>0</w:t>
            </w:r>
          </w:p>
        </w:tc>
        <w:tc>
          <w:tcPr>
            <w:tcW w:w="1615" w:type="dxa"/>
          </w:tcPr>
          <w:p w14:paraId="7A99D437" w14:textId="77777777" w:rsidR="001130C6" w:rsidRPr="006278E3" w:rsidRDefault="001130C6" w:rsidP="0072192F">
            <w:pPr>
              <w:pStyle w:val="Tables"/>
              <w:jc w:val="right"/>
              <w:rPr>
                <w:rFonts w:asciiTheme="minorHAnsi" w:hAnsiTheme="minorHAnsi"/>
                <w:color w:val="000000" w:themeColor="text1"/>
                <w:sz w:val="18"/>
                <w:szCs w:val="18"/>
              </w:rPr>
            </w:pPr>
          </w:p>
        </w:tc>
      </w:tr>
      <w:tr w:rsidR="001130C6" w:rsidRPr="00750C7A" w14:paraId="7EBAA137" w14:textId="77777777" w:rsidTr="001130C6">
        <w:tc>
          <w:tcPr>
            <w:tcW w:w="3114" w:type="dxa"/>
          </w:tcPr>
          <w:p w14:paraId="199B5334" w14:textId="77777777" w:rsidR="001130C6" w:rsidRPr="00750C7A" w:rsidRDefault="001130C6" w:rsidP="0072192F">
            <w:pPr>
              <w:pStyle w:val="Tables"/>
              <w:rPr>
                <w:rFonts w:asciiTheme="minorHAnsi" w:hAnsiTheme="minorHAnsi"/>
                <w:sz w:val="18"/>
                <w:szCs w:val="18"/>
              </w:rPr>
            </w:pPr>
            <w:r w:rsidRPr="00750C7A">
              <w:rPr>
                <w:rFonts w:asciiTheme="minorHAnsi" w:hAnsiTheme="minorHAnsi"/>
                <w:sz w:val="18"/>
                <w:szCs w:val="18"/>
              </w:rPr>
              <w:t>Neck</w:t>
            </w:r>
          </w:p>
        </w:tc>
        <w:tc>
          <w:tcPr>
            <w:tcW w:w="1423" w:type="dxa"/>
          </w:tcPr>
          <w:p w14:paraId="76D3ABA8" w14:textId="77777777" w:rsidR="001130C6" w:rsidRPr="001F78E3" w:rsidRDefault="001130C6" w:rsidP="0072192F">
            <w:pPr>
              <w:pStyle w:val="Tables"/>
              <w:jc w:val="right"/>
              <w:rPr>
                <w:rFonts w:asciiTheme="minorHAnsi" w:hAnsiTheme="minorHAnsi"/>
                <w:color w:val="000000" w:themeColor="text1"/>
                <w:sz w:val="18"/>
                <w:szCs w:val="18"/>
              </w:rPr>
            </w:pPr>
            <w:r w:rsidRPr="001F78E3">
              <w:rPr>
                <w:rFonts w:asciiTheme="minorHAnsi" w:hAnsiTheme="minorHAnsi"/>
                <w:color w:val="000000" w:themeColor="text1"/>
                <w:sz w:val="18"/>
                <w:szCs w:val="18"/>
              </w:rPr>
              <w:t>7</w:t>
            </w:r>
          </w:p>
        </w:tc>
        <w:tc>
          <w:tcPr>
            <w:tcW w:w="1461" w:type="dxa"/>
          </w:tcPr>
          <w:p w14:paraId="316D4DF5" w14:textId="77777777" w:rsidR="001130C6" w:rsidRPr="001F78E3" w:rsidRDefault="001130C6" w:rsidP="0072192F">
            <w:pPr>
              <w:pStyle w:val="Tables"/>
              <w:jc w:val="right"/>
              <w:rPr>
                <w:rFonts w:asciiTheme="minorHAnsi" w:hAnsiTheme="minorHAnsi"/>
                <w:color w:val="000000" w:themeColor="text1"/>
                <w:sz w:val="18"/>
                <w:szCs w:val="18"/>
              </w:rPr>
            </w:pPr>
            <w:r w:rsidRPr="001F78E3">
              <w:rPr>
                <w:rFonts w:asciiTheme="minorHAnsi" w:hAnsiTheme="minorHAnsi"/>
                <w:color w:val="000000" w:themeColor="text1"/>
                <w:sz w:val="18"/>
                <w:szCs w:val="18"/>
              </w:rPr>
              <w:t>14</w:t>
            </w:r>
          </w:p>
        </w:tc>
        <w:tc>
          <w:tcPr>
            <w:tcW w:w="1403" w:type="dxa"/>
          </w:tcPr>
          <w:p w14:paraId="495488A5" w14:textId="77777777" w:rsidR="001130C6" w:rsidRPr="001F78E3" w:rsidRDefault="001130C6" w:rsidP="0072192F">
            <w:pPr>
              <w:pStyle w:val="Tables"/>
              <w:jc w:val="right"/>
              <w:rPr>
                <w:rFonts w:asciiTheme="minorHAnsi" w:hAnsiTheme="minorHAnsi"/>
                <w:color w:val="000000" w:themeColor="text1"/>
                <w:sz w:val="18"/>
                <w:szCs w:val="18"/>
              </w:rPr>
            </w:pPr>
            <w:r w:rsidRPr="001F78E3">
              <w:rPr>
                <w:rFonts w:asciiTheme="minorHAnsi" w:hAnsiTheme="minorHAnsi"/>
                <w:color w:val="000000" w:themeColor="text1"/>
                <w:sz w:val="18"/>
                <w:szCs w:val="18"/>
              </w:rPr>
              <w:t>13</w:t>
            </w:r>
          </w:p>
        </w:tc>
        <w:tc>
          <w:tcPr>
            <w:tcW w:w="1615" w:type="dxa"/>
          </w:tcPr>
          <w:p w14:paraId="4B0AF736" w14:textId="77777777" w:rsidR="001130C6" w:rsidRPr="006278E3" w:rsidRDefault="001130C6" w:rsidP="0072192F">
            <w:pPr>
              <w:pStyle w:val="Tables"/>
              <w:jc w:val="right"/>
              <w:rPr>
                <w:rFonts w:asciiTheme="minorHAnsi" w:hAnsiTheme="minorHAnsi"/>
                <w:color w:val="000000" w:themeColor="text1"/>
                <w:sz w:val="18"/>
                <w:szCs w:val="18"/>
              </w:rPr>
            </w:pPr>
            <w:r w:rsidRPr="006278E3">
              <w:rPr>
                <w:rFonts w:asciiTheme="minorHAnsi" w:hAnsiTheme="minorHAnsi"/>
                <w:color w:val="000000" w:themeColor="text1"/>
                <w:sz w:val="18"/>
                <w:szCs w:val="18"/>
              </w:rPr>
              <w:t>0.36 (0.31, 0.41)</w:t>
            </w:r>
          </w:p>
        </w:tc>
      </w:tr>
      <w:tr w:rsidR="001130C6" w:rsidRPr="00750C7A" w14:paraId="4B5A2C49" w14:textId="77777777" w:rsidTr="001130C6">
        <w:tc>
          <w:tcPr>
            <w:tcW w:w="3114" w:type="dxa"/>
          </w:tcPr>
          <w:p w14:paraId="58C7A993" w14:textId="77777777" w:rsidR="001130C6" w:rsidRPr="00750C7A" w:rsidRDefault="001130C6" w:rsidP="0072192F">
            <w:pPr>
              <w:pStyle w:val="Tables"/>
              <w:rPr>
                <w:rFonts w:asciiTheme="minorHAnsi" w:hAnsiTheme="minorHAnsi"/>
                <w:sz w:val="18"/>
                <w:szCs w:val="18"/>
              </w:rPr>
            </w:pPr>
            <w:r w:rsidRPr="00750C7A">
              <w:rPr>
                <w:rFonts w:asciiTheme="minorHAnsi" w:hAnsiTheme="minorHAnsi"/>
                <w:sz w:val="18"/>
                <w:szCs w:val="18"/>
              </w:rPr>
              <w:t>Head</w:t>
            </w:r>
          </w:p>
        </w:tc>
        <w:tc>
          <w:tcPr>
            <w:tcW w:w="1423" w:type="dxa"/>
          </w:tcPr>
          <w:p w14:paraId="7EC14A22" w14:textId="77777777" w:rsidR="001130C6" w:rsidRPr="001F78E3" w:rsidRDefault="001130C6" w:rsidP="0072192F">
            <w:pPr>
              <w:pStyle w:val="Tables"/>
              <w:jc w:val="right"/>
              <w:rPr>
                <w:rFonts w:asciiTheme="minorHAnsi" w:hAnsiTheme="minorHAnsi"/>
                <w:color w:val="000000" w:themeColor="text1"/>
                <w:sz w:val="18"/>
                <w:szCs w:val="18"/>
              </w:rPr>
            </w:pPr>
            <w:r w:rsidRPr="001F78E3">
              <w:rPr>
                <w:rFonts w:asciiTheme="minorHAnsi" w:hAnsiTheme="minorHAnsi"/>
                <w:color w:val="000000" w:themeColor="text1"/>
                <w:sz w:val="18"/>
                <w:szCs w:val="18"/>
              </w:rPr>
              <w:t>7</w:t>
            </w:r>
          </w:p>
        </w:tc>
        <w:tc>
          <w:tcPr>
            <w:tcW w:w="1461" w:type="dxa"/>
          </w:tcPr>
          <w:p w14:paraId="58460378" w14:textId="77777777" w:rsidR="001130C6" w:rsidRPr="001F78E3" w:rsidRDefault="001130C6" w:rsidP="0072192F">
            <w:pPr>
              <w:pStyle w:val="Tables"/>
              <w:jc w:val="right"/>
              <w:rPr>
                <w:rFonts w:asciiTheme="minorHAnsi" w:hAnsiTheme="minorHAnsi"/>
                <w:color w:val="000000" w:themeColor="text1"/>
                <w:sz w:val="18"/>
                <w:szCs w:val="18"/>
              </w:rPr>
            </w:pPr>
            <w:r w:rsidRPr="001F78E3">
              <w:rPr>
                <w:rFonts w:asciiTheme="minorHAnsi" w:hAnsiTheme="minorHAnsi"/>
                <w:color w:val="000000" w:themeColor="text1"/>
                <w:sz w:val="18"/>
                <w:szCs w:val="18"/>
              </w:rPr>
              <w:t>13</w:t>
            </w:r>
          </w:p>
        </w:tc>
        <w:tc>
          <w:tcPr>
            <w:tcW w:w="1403" w:type="dxa"/>
          </w:tcPr>
          <w:p w14:paraId="10FFFC05" w14:textId="77777777" w:rsidR="001130C6" w:rsidRPr="001F78E3" w:rsidRDefault="001130C6" w:rsidP="0072192F">
            <w:pPr>
              <w:pStyle w:val="Tables"/>
              <w:jc w:val="right"/>
              <w:rPr>
                <w:rFonts w:asciiTheme="minorHAnsi" w:hAnsiTheme="minorHAnsi"/>
                <w:color w:val="000000" w:themeColor="text1"/>
                <w:sz w:val="18"/>
                <w:szCs w:val="18"/>
              </w:rPr>
            </w:pPr>
            <w:r w:rsidRPr="001F78E3">
              <w:rPr>
                <w:rFonts w:asciiTheme="minorHAnsi" w:hAnsiTheme="minorHAnsi"/>
                <w:color w:val="000000" w:themeColor="text1"/>
                <w:sz w:val="18"/>
                <w:szCs w:val="18"/>
              </w:rPr>
              <w:t>10</w:t>
            </w:r>
          </w:p>
        </w:tc>
        <w:tc>
          <w:tcPr>
            <w:tcW w:w="1615" w:type="dxa"/>
          </w:tcPr>
          <w:p w14:paraId="47741519" w14:textId="77777777" w:rsidR="001130C6" w:rsidRPr="006278E3" w:rsidRDefault="001130C6" w:rsidP="0072192F">
            <w:pPr>
              <w:pStyle w:val="Tables"/>
              <w:jc w:val="right"/>
              <w:rPr>
                <w:rFonts w:asciiTheme="minorHAnsi" w:hAnsiTheme="minorHAnsi"/>
                <w:color w:val="000000" w:themeColor="text1"/>
                <w:sz w:val="18"/>
                <w:szCs w:val="18"/>
              </w:rPr>
            </w:pPr>
            <w:r w:rsidRPr="006278E3">
              <w:rPr>
                <w:rFonts w:asciiTheme="minorHAnsi" w:hAnsiTheme="minorHAnsi"/>
                <w:color w:val="000000" w:themeColor="text1"/>
                <w:sz w:val="18"/>
                <w:szCs w:val="18"/>
              </w:rPr>
              <w:t>0.63 (0.54, 0.71)</w:t>
            </w:r>
          </w:p>
        </w:tc>
      </w:tr>
      <w:tr w:rsidR="001130C6" w:rsidRPr="00750C7A" w14:paraId="7D8DD42E" w14:textId="77777777" w:rsidTr="001130C6">
        <w:tc>
          <w:tcPr>
            <w:tcW w:w="3114" w:type="dxa"/>
          </w:tcPr>
          <w:p w14:paraId="5D61BBF1" w14:textId="77777777" w:rsidR="001130C6" w:rsidRPr="00750C7A" w:rsidRDefault="001130C6" w:rsidP="0072192F">
            <w:pPr>
              <w:pStyle w:val="Tables"/>
              <w:rPr>
                <w:rFonts w:asciiTheme="minorHAnsi" w:hAnsiTheme="minorHAnsi"/>
                <w:sz w:val="18"/>
                <w:szCs w:val="18"/>
              </w:rPr>
            </w:pPr>
            <w:r w:rsidRPr="00750C7A">
              <w:rPr>
                <w:rFonts w:asciiTheme="minorHAnsi" w:hAnsiTheme="minorHAnsi"/>
                <w:sz w:val="18"/>
                <w:szCs w:val="18"/>
              </w:rPr>
              <w:t>Left Shoulder</w:t>
            </w:r>
          </w:p>
        </w:tc>
        <w:tc>
          <w:tcPr>
            <w:tcW w:w="1423" w:type="dxa"/>
          </w:tcPr>
          <w:p w14:paraId="0973FB13" w14:textId="77777777" w:rsidR="001130C6" w:rsidRPr="001F78E3" w:rsidRDefault="001130C6" w:rsidP="0072192F">
            <w:pPr>
              <w:pStyle w:val="Tables"/>
              <w:jc w:val="right"/>
              <w:rPr>
                <w:rFonts w:asciiTheme="minorHAnsi" w:hAnsiTheme="minorHAnsi"/>
                <w:color w:val="000000" w:themeColor="text1"/>
                <w:sz w:val="18"/>
                <w:szCs w:val="18"/>
              </w:rPr>
            </w:pPr>
            <w:r w:rsidRPr="001F78E3">
              <w:rPr>
                <w:rFonts w:asciiTheme="minorHAnsi" w:hAnsiTheme="minorHAnsi"/>
                <w:color w:val="000000" w:themeColor="text1"/>
                <w:sz w:val="18"/>
                <w:szCs w:val="18"/>
              </w:rPr>
              <w:t>0</w:t>
            </w:r>
          </w:p>
        </w:tc>
        <w:tc>
          <w:tcPr>
            <w:tcW w:w="1461" w:type="dxa"/>
          </w:tcPr>
          <w:p w14:paraId="4173B84E" w14:textId="77777777" w:rsidR="001130C6" w:rsidRPr="001F78E3" w:rsidRDefault="001130C6" w:rsidP="0072192F">
            <w:pPr>
              <w:pStyle w:val="Tables"/>
              <w:jc w:val="right"/>
              <w:rPr>
                <w:rFonts w:asciiTheme="minorHAnsi" w:hAnsiTheme="minorHAnsi"/>
                <w:color w:val="000000" w:themeColor="text1"/>
                <w:sz w:val="18"/>
                <w:szCs w:val="18"/>
              </w:rPr>
            </w:pPr>
            <w:r w:rsidRPr="001F78E3">
              <w:rPr>
                <w:rFonts w:asciiTheme="minorHAnsi" w:hAnsiTheme="minorHAnsi"/>
                <w:color w:val="000000" w:themeColor="text1"/>
                <w:sz w:val="18"/>
                <w:szCs w:val="18"/>
              </w:rPr>
              <w:t>2</w:t>
            </w:r>
          </w:p>
        </w:tc>
        <w:tc>
          <w:tcPr>
            <w:tcW w:w="1403" w:type="dxa"/>
          </w:tcPr>
          <w:p w14:paraId="0F726F37" w14:textId="77777777" w:rsidR="001130C6" w:rsidRPr="001F78E3" w:rsidRDefault="001130C6" w:rsidP="0072192F">
            <w:pPr>
              <w:pStyle w:val="Tables"/>
              <w:jc w:val="right"/>
              <w:rPr>
                <w:rFonts w:asciiTheme="minorHAnsi" w:hAnsiTheme="minorHAnsi"/>
                <w:color w:val="000000" w:themeColor="text1"/>
                <w:sz w:val="18"/>
                <w:szCs w:val="18"/>
              </w:rPr>
            </w:pPr>
            <w:r w:rsidRPr="001F78E3">
              <w:rPr>
                <w:rFonts w:asciiTheme="minorHAnsi" w:hAnsiTheme="minorHAnsi"/>
                <w:color w:val="000000" w:themeColor="text1"/>
                <w:sz w:val="18"/>
                <w:szCs w:val="18"/>
              </w:rPr>
              <w:t>0</w:t>
            </w:r>
          </w:p>
        </w:tc>
        <w:tc>
          <w:tcPr>
            <w:tcW w:w="1615" w:type="dxa"/>
          </w:tcPr>
          <w:p w14:paraId="34215385" w14:textId="77777777" w:rsidR="001130C6" w:rsidRPr="006278E3" w:rsidRDefault="001130C6" w:rsidP="0072192F">
            <w:pPr>
              <w:pStyle w:val="Tables"/>
              <w:jc w:val="right"/>
              <w:rPr>
                <w:rFonts w:asciiTheme="minorHAnsi" w:hAnsiTheme="minorHAnsi"/>
                <w:color w:val="000000" w:themeColor="text1"/>
                <w:sz w:val="18"/>
                <w:szCs w:val="18"/>
              </w:rPr>
            </w:pPr>
          </w:p>
        </w:tc>
      </w:tr>
      <w:tr w:rsidR="001130C6" w:rsidRPr="00750C7A" w14:paraId="58DB5A49" w14:textId="77777777" w:rsidTr="001130C6">
        <w:tc>
          <w:tcPr>
            <w:tcW w:w="3114" w:type="dxa"/>
          </w:tcPr>
          <w:p w14:paraId="4511D1C3" w14:textId="77777777" w:rsidR="001130C6" w:rsidRPr="00750C7A" w:rsidRDefault="001130C6" w:rsidP="0072192F">
            <w:pPr>
              <w:pStyle w:val="Tables"/>
              <w:rPr>
                <w:rFonts w:asciiTheme="minorHAnsi" w:hAnsiTheme="minorHAnsi"/>
                <w:sz w:val="18"/>
                <w:szCs w:val="18"/>
              </w:rPr>
            </w:pPr>
            <w:r w:rsidRPr="00750C7A">
              <w:rPr>
                <w:rFonts w:asciiTheme="minorHAnsi" w:hAnsiTheme="minorHAnsi"/>
                <w:sz w:val="18"/>
                <w:szCs w:val="18"/>
              </w:rPr>
              <w:t>Right Shoulder</w:t>
            </w:r>
          </w:p>
        </w:tc>
        <w:tc>
          <w:tcPr>
            <w:tcW w:w="1423" w:type="dxa"/>
          </w:tcPr>
          <w:p w14:paraId="57A8F2CA" w14:textId="77777777" w:rsidR="001130C6" w:rsidRPr="001F78E3" w:rsidRDefault="001130C6" w:rsidP="0072192F">
            <w:pPr>
              <w:pStyle w:val="Tables"/>
              <w:jc w:val="right"/>
              <w:rPr>
                <w:rFonts w:asciiTheme="minorHAnsi" w:hAnsiTheme="minorHAnsi"/>
                <w:color w:val="000000" w:themeColor="text1"/>
                <w:sz w:val="18"/>
                <w:szCs w:val="18"/>
              </w:rPr>
            </w:pPr>
            <w:r w:rsidRPr="001F78E3">
              <w:rPr>
                <w:rFonts w:asciiTheme="minorHAnsi" w:hAnsiTheme="minorHAnsi"/>
                <w:color w:val="000000" w:themeColor="text1"/>
                <w:sz w:val="18"/>
                <w:szCs w:val="18"/>
              </w:rPr>
              <w:t>0</w:t>
            </w:r>
          </w:p>
        </w:tc>
        <w:tc>
          <w:tcPr>
            <w:tcW w:w="1461" w:type="dxa"/>
          </w:tcPr>
          <w:p w14:paraId="07771E21" w14:textId="77777777" w:rsidR="001130C6" w:rsidRPr="001F78E3" w:rsidRDefault="001130C6" w:rsidP="0072192F">
            <w:pPr>
              <w:pStyle w:val="Tables"/>
              <w:jc w:val="right"/>
              <w:rPr>
                <w:rFonts w:asciiTheme="minorHAnsi" w:hAnsiTheme="minorHAnsi"/>
                <w:color w:val="000000" w:themeColor="text1"/>
                <w:sz w:val="18"/>
                <w:szCs w:val="18"/>
              </w:rPr>
            </w:pPr>
            <w:r w:rsidRPr="001F78E3">
              <w:rPr>
                <w:rFonts w:asciiTheme="minorHAnsi" w:hAnsiTheme="minorHAnsi"/>
                <w:color w:val="000000" w:themeColor="text1"/>
                <w:sz w:val="18"/>
                <w:szCs w:val="18"/>
              </w:rPr>
              <w:t>1</w:t>
            </w:r>
          </w:p>
        </w:tc>
        <w:tc>
          <w:tcPr>
            <w:tcW w:w="1403" w:type="dxa"/>
          </w:tcPr>
          <w:p w14:paraId="7FCB9D4B" w14:textId="77777777" w:rsidR="001130C6" w:rsidRPr="001F78E3" w:rsidRDefault="001130C6" w:rsidP="0072192F">
            <w:pPr>
              <w:pStyle w:val="Tables"/>
              <w:jc w:val="right"/>
              <w:rPr>
                <w:rFonts w:asciiTheme="minorHAnsi" w:hAnsiTheme="minorHAnsi"/>
                <w:color w:val="000000" w:themeColor="text1"/>
                <w:sz w:val="18"/>
                <w:szCs w:val="18"/>
              </w:rPr>
            </w:pPr>
            <w:r w:rsidRPr="001F78E3">
              <w:rPr>
                <w:rFonts w:asciiTheme="minorHAnsi" w:hAnsiTheme="minorHAnsi"/>
                <w:color w:val="000000" w:themeColor="text1"/>
                <w:sz w:val="18"/>
                <w:szCs w:val="18"/>
              </w:rPr>
              <w:t>1</w:t>
            </w:r>
          </w:p>
        </w:tc>
        <w:tc>
          <w:tcPr>
            <w:tcW w:w="1615" w:type="dxa"/>
          </w:tcPr>
          <w:p w14:paraId="415E471F" w14:textId="77777777" w:rsidR="001130C6" w:rsidRPr="006278E3" w:rsidRDefault="001130C6" w:rsidP="0072192F">
            <w:pPr>
              <w:pStyle w:val="Tables"/>
              <w:jc w:val="right"/>
              <w:rPr>
                <w:rFonts w:asciiTheme="minorHAnsi" w:hAnsiTheme="minorHAnsi"/>
                <w:color w:val="000000" w:themeColor="text1"/>
                <w:sz w:val="18"/>
                <w:szCs w:val="18"/>
              </w:rPr>
            </w:pPr>
          </w:p>
        </w:tc>
      </w:tr>
      <w:tr w:rsidR="001130C6" w:rsidRPr="00750C7A" w14:paraId="19C2D65A" w14:textId="77777777" w:rsidTr="001130C6">
        <w:tc>
          <w:tcPr>
            <w:tcW w:w="3114" w:type="dxa"/>
          </w:tcPr>
          <w:p w14:paraId="72237D2E" w14:textId="77777777" w:rsidR="001130C6" w:rsidRPr="00750C7A" w:rsidRDefault="001130C6" w:rsidP="0072192F">
            <w:pPr>
              <w:pStyle w:val="Tables"/>
              <w:rPr>
                <w:rFonts w:asciiTheme="minorHAnsi" w:hAnsiTheme="minorHAnsi"/>
                <w:sz w:val="18"/>
                <w:szCs w:val="18"/>
              </w:rPr>
            </w:pPr>
            <w:r w:rsidRPr="00750C7A">
              <w:rPr>
                <w:rFonts w:asciiTheme="minorHAnsi" w:hAnsiTheme="minorHAnsi"/>
                <w:sz w:val="18"/>
                <w:szCs w:val="18"/>
              </w:rPr>
              <w:t>Left Upper Extremity</w:t>
            </w:r>
          </w:p>
        </w:tc>
        <w:tc>
          <w:tcPr>
            <w:tcW w:w="1423" w:type="dxa"/>
          </w:tcPr>
          <w:p w14:paraId="568645AC" w14:textId="77777777" w:rsidR="001130C6" w:rsidRPr="001F78E3" w:rsidRDefault="001130C6" w:rsidP="0072192F">
            <w:pPr>
              <w:pStyle w:val="Tables"/>
              <w:jc w:val="right"/>
              <w:rPr>
                <w:rFonts w:asciiTheme="minorHAnsi" w:hAnsiTheme="minorHAnsi"/>
                <w:color w:val="000000" w:themeColor="text1"/>
                <w:sz w:val="18"/>
                <w:szCs w:val="18"/>
              </w:rPr>
            </w:pPr>
            <w:r w:rsidRPr="001F78E3">
              <w:rPr>
                <w:rFonts w:asciiTheme="minorHAnsi" w:hAnsiTheme="minorHAnsi"/>
                <w:color w:val="000000" w:themeColor="text1"/>
                <w:sz w:val="18"/>
                <w:szCs w:val="18"/>
              </w:rPr>
              <w:t>22</w:t>
            </w:r>
          </w:p>
        </w:tc>
        <w:tc>
          <w:tcPr>
            <w:tcW w:w="1461" w:type="dxa"/>
          </w:tcPr>
          <w:p w14:paraId="782BA9FA" w14:textId="77777777" w:rsidR="001130C6" w:rsidRPr="001F78E3" w:rsidRDefault="001130C6" w:rsidP="0072192F">
            <w:pPr>
              <w:pStyle w:val="Tables"/>
              <w:jc w:val="right"/>
              <w:rPr>
                <w:rFonts w:asciiTheme="minorHAnsi" w:hAnsiTheme="minorHAnsi"/>
                <w:color w:val="000000" w:themeColor="text1"/>
                <w:sz w:val="18"/>
                <w:szCs w:val="18"/>
              </w:rPr>
            </w:pPr>
            <w:r w:rsidRPr="001F78E3">
              <w:rPr>
                <w:rFonts w:asciiTheme="minorHAnsi" w:hAnsiTheme="minorHAnsi"/>
                <w:color w:val="000000" w:themeColor="text1"/>
                <w:sz w:val="18"/>
                <w:szCs w:val="18"/>
              </w:rPr>
              <w:t>26</w:t>
            </w:r>
          </w:p>
        </w:tc>
        <w:tc>
          <w:tcPr>
            <w:tcW w:w="1403" w:type="dxa"/>
          </w:tcPr>
          <w:p w14:paraId="3E24DB80" w14:textId="77777777" w:rsidR="001130C6" w:rsidRPr="001F78E3" w:rsidRDefault="001130C6" w:rsidP="0072192F">
            <w:pPr>
              <w:pStyle w:val="Tables"/>
              <w:jc w:val="right"/>
              <w:rPr>
                <w:rFonts w:asciiTheme="minorHAnsi" w:hAnsiTheme="minorHAnsi"/>
                <w:color w:val="000000" w:themeColor="text1"/>
                <w:sz w:val="18"/>
                <w:szCs w:val="18"/>
              </w:rPr>
            </w:pPr>
            <w:r w:rsidRPr="001F78E3">
              <w:rPr>
                <w:rFonts w:asciiTheme="minorHAnsi" w:hAnsiTheme="minorHAnsi"/>
                <w:color w:val="000000" w:themeColor="text1"/>
                <w:sz w:val="18"/>
                <w:szCs w:val="18"/>
              </w:rPr>
              <w:t>34</w:t>
            </w:r>
          </w:p>
        </w:tc>
        <w:tc>
          <w:tcPr>
            <w:tcW w:w="1615" w:type="dxa"/>
          </w:tcPr>
          <w:p w14:paraId="270584C2" w14:textId="77777777" w:rsidR="001130C6" w:rsidRPr="006278E3" w:rsidRDefault="001130C6" w:rsidP="0072192F">
            <w:pPr>
              <w:pStyle w:val="Tables"/>
              <w:jc w:val="right"/>
              <w:rPr>
                <w:rFonts w:asciiTheme="minorHAnsi" w:hAnsiTheme="minorHAnsi"/>
                <w:color w:val="000000" w:themeColor="text1"/>
                <w:sz w:val="18"/>
                <w:szCs w:val="18"/>
              </w:rPr>
            </w:pPr>
            <w:r w:rsidRPr="006278E3">
              <w:rPr>
                <w:rFonts w:asciiTheme="minorHAnsi" w:hAnsiTheme="minorHAnsi"/>
                <w:color w:val="000000" w:themeColor="text1"/>
                <w:sz w:val="18"/>
                <w:szCs w:val="18"/>
              </w:rPr>
              <w:t>0.54 (0.49, 0.60)</w:t>
            </w:r>
          </w:p>
        </w:tc>
      </w:tr>
      <w:tr w:rsidR="001130C6" w:rsidRPr="00750C7A" w14:paraId="2A69EB9D" w14:textId="77777777" w:rsidTr="001130C6">
        <w:tc>
          <w:tcPr>
            <w:tcW w:w="3114" w:type="dxa"/>
          </w:tcPr>
          <w:p w14:paraId="62A6064C" w14:textId="77777777" w:rsidR="001130C6" w:rsidRPr="00750C7A" w:rsidRDefault="001130C6" w:rsidP="0072192F">
            <w:pPr>
              <w:pStyle w:val="Tables"/>
              <w:rPr>
                <w:rFonts w:asciiTheme="minorHAnsi" w:hAnsiTheme="minorHAnsi"/>
                <w:sz w:val="18"/>
                <w:szCs w:val="18"/>
              </w:rPr>
            </w:pPr>
            <w:r w:rsidRPr="00750C7A">
              <w:rPr>
                <w:rFonts w:asciiTheme="minorHAnsi" w:hAnsiTheme="minorHAnsi"/>
                <w:sz w:val="18"/>
                <w:szCs w:val="18"/>
              </w:rPr>
              <w:t>Right Upper Extremity</w:t>
            </w:r>
          </w:p>
        </w:tc>
        <w:tc>
          <w:tcPr>
            <w:tcW w:w="1423" w:type="dxa"/>
          </w:tcPr>
          <w:p w14:paraId="164C7604" w14:textId="77777777" w:rsidR="001130C6" w:rsidRPr="001F78E3" w:rsidRDefault="001130C6" w:rsidP="0072192F">
            <w:pPr>
              <w:pStyle w:val="Tables"/>
              <w:jc w:val="right"/>
              <w:rPr>
                <w:rFonts w:asciiTheme="minorHAnsi" w:hAnsiTheme="minorHAnsi"/>
                <w:color w:val="000000" w:themeColor="text1"/>
                <w:sz w:val="18"/>
                <w:szCs w:val="18"/>
              </w:rPr>
            </w:pPr>
            <w:r w:rsidRPr="001F78E3">
              <w:rPr>
                <w:rFonts w:asciiTheme="minorHAnsi" w:hAnsiTheme="minorHAnsi"/>
                <w:color w:val="000000" w:themeColor="text1"/>
                <w:sz w:val="18"/>
                <w:szCs w:val="18"/>
              </w:rPr>
              <w:t>24</w:t>
            </w:r>
          </w:p>
        </w:tc>
        <w:tc>
          <w:tcPr>
            <w:tcW w:w="1461" w:type="dxa"/>
          </w:tcPr>
          <w:p w14:paraId="0E583A38" w14:textId="77777777" w:rsidR="001130C6" w:rsidRPr="001F78E3" w:rsidRDefault="001130C6" w:rsidP="0072192F">
            <w:pPr>
              <w:pStyle w:val="Tables"/>
              <w:jc w:val="right"/>
              <w:rPr>
                <w:rFonts w:asciiTheme="minorHAnsi" w:hAnsiTheme="minorHAnsi"/>
                <w:color w:val="000000" w:themeColor="text1"/>
                <w:sz w:val="18"/>
                <w:szCs w:val="18"/>
              </w:rPr>
            </w:pPr>
            <w:r w:rsidRPr="001F78E3">
              <w:rPr>
                <w:rFonts w:asciiTheme="minorHAnsi" w:hAnsiTheme="minorHAnsi"/>
                <w:color w:val="000000" w:themeColor="text1"/>
                <w:sz w:val="18"/>
                <w:szCs w:val="18"/>
              </w:rPr>
              <w:t>26</w:t>
            </w:r>
          </w:p>
        </w:tc>
        <w:tc>
          <w:tcPr>
            <w:tcW w:w="1403" w:type="dxa"/>
          </w:tcPr>
          <w:p w14:paraId="69BE23C0" w14:textId="77777777" w:rsidR="001130C6" w:rsidRPr="001F78E3" w:rsidRDefault="001130C6" w:rsidP="0072192F">
            <w:pPr>
              <w:pStyle w:val="Tables"/>
              <w:jc w:val="right"/>
              <w:rPr>
                <w:rFonts w:asciiTheme="minorHAnsi" w:hAnsiTheme="minorHAnsi"/>
                <w:color w:val="000000" w:themeColor="text1"/>
                <w:sz w:val="18"/>
                <w:szCs w:val="18"/>
              </w:rPr>
            </w:pPr>
            <w:r w:rsidRPr="001F78E3">
              <w:rPr>
                <w:rFonts w:asciiTheme="minorHAnsi" w:hAnsiTheme="minorHAnsi"/>
                <w:color w:val="000000" w:themeColor="text1"/>
                <w:sz w:val="18"/>
                <w:szCs w:val="18"/>
              </w:rPr>
              <w:t>38</w:t>
            </w:r>
          </w:p>
        </w:tc>
        <w:tc>
          <w:tcPr>
            <w:tcW w:w="1615" w:type="dxa"/>
          </w:tcPr>
          <w:p w14:paraId="3E6E5970" w14:textId="77777777" w:rsidR="001130C6" w:rsidRPr="006278E3" w:rsidRDefault="001130C6" w:rsidP="0072192F">
            <w:pPr>
              <w:pStyle w:val="Tables"/>
              <w:jc w:val="right"/>
              <w:rPr>
                <w:rFonts w:asciiTheme="minorHAnsi" w:hAnsiTheme="minorHAnsi"/>
                <w:color w:val="000000" w:themeColor="text1"/>
                <w:sz w:val="18"/>
                <w:szCs w:val="18"/>
              </w:rPr>
            </w:pPr>
            <w:r w:rsidRPr="006278E3">
              <w:rPr>
                <w:rFonts w:asciiTheme="minorHAnsi" w:hAnsiTheme="minorHAnsi"/>
                <w:color w:val="000000" w:themeColor="text1"/>
                <w:sz w:val="18"/>
                <w:szCs w:val="18"/>
              </w:rPr>
              <w:t>0.52 (0.46, 0.57)</w:t>
            </w:r>
          </w:p>
        </w:tc>
      </w:tr>
      <w:tr w:rsidR="001130C6" w:rsidRPr="00750C7A" w14:paraId="24898BDF" w14:textId="77777777" w:rsidTr="001130C6">
        <w:tc>
          <w:tcPr>
            <w:tcW w:w="3114" w:type="dxa"/>
          </w:tcPr>
          <w:p w14:paraId="3C80BC47" w14:textId="77777777" w:rsidR="001130C6" w:rsidRPr="00750C7A" w:rsidRDefault="001130C6" w:rsidP="0072192F">
            <w:pPr>
              <w:pStyle w:val="Tables"/>
              <w:rPr>
                <w:rFonts w:asciiTheme="minorHAnsi" w:hAnsiTheme="minorHAnsi"/>
                <w:sz w:val="18"/>
                <w:szCs w:val="18"/>
              </w:rPr>
            </w:pPr>
            <w:r w:rsidRPr="00750C7A">
              <w:rPr>
                <w:rFonts w:asciiTheme="minorHAnsi" w:hAnsiTheme="minorHAnsi"/>
                <w:sz w:val="18"/>
                <w:szCs w:val="18"/>
              </w:rPr>
              <w:t>Left Lower Extremity</w:t>
            </w:r>
          </w:p>
        </w:tc>
        <w:tc>
          <w:tcPr>
            <w:tcW w:w="1423" w:type="dxa"/>
          </w:tcPr>
          <w:p w14:paraId="31C3CC41" w14:textId="77777777" w:rsidR="001130C6" w:rsidRPr="001F78E3" w:rsidRDefault="001130C6" w:rsidP="0072192F">
            <w:pPr>
              <w:pStyle w:val="Tables"/>
              <w:jc w:val="right"/>
              <w:rPr>
                <w:rFonts w:asciiTheme="minorHAnsi" w:hAnsiTheme="minorHAnsi"/>
                <w:color w:val="000000" w:themeColor="text1"/>
                <w:sz w:val="18"/>
                <w:szCs w:val="18"/>
              </w:rPr>
            </w:pPr>
            <w:r w:rsidRPr="001F78E3">
              <w:rPr>
                <w:rFonts w:asciiTheme="minorHAnsi" w:hAnsiTheme="minorHAnsi"/>
                <w:color w:val="000000" w:themeColor="text1"/>
                <w:sz w:val="18"/>
                <w:szCs w:val="18"/>
              </w:rPr>
              <w:t>29</w:t>
            </w:r>
          </w:p>
        </w:tc>
        <w:tc>
          <w:tcPr>
            <w:tcW w:w="1461" w:type="dxa"/>
          </w:tcPr>
          <w:p w14:paraId="3F7FB8FF" w14:textId="77777777" w:rsidR="001130C6" w:rsidRPr="001F78E3" w:rsidRDefault="001130C6" w:rsidP="0072192F">
            <w:pPr>
              <w:pStyle w:val="Tables"/>
              <w:jc w:val="right"/>
              <w:rPr>
                <w:rFonts w:asciiTheme="minorHAnsi" w:hAnsiTheme="minorHAnsi"/>
                <w:color w:val="000000" w:themeColor="text1"/>
                <w:sz w:val="18"/>
                <w:szCs w:val="18"/>
              </w:rPr>
            </w:pPr>
            <w:r w:rsidRPr="001F78E3">
              <w:rPr>
                <w:rFonts w:asciiTheme="minorHAnsi" w:hAnsiTheme="minorHAnsi"/>
                <w:color w:val="000000" w:themeColor="text1"/>
                <w:sz w:val="18"/>
                <w:szCs w:val="18"/>
              </w:rPr>
              <w:t>32</w:t>
            </w:r>
          </w:p>
        </w:tc>
        <w:tc>
          <w:tcPr>
            <w:tcW w:w="1403" w:type="dxa"/>
          </w:tcPr>
          <w:p w14:paraId="21E8F13F" w14:textId="77777777" w:rsidR="001130C6" w:rsidRPr="001F78E3" w:rsidRDefault="001130C6" w:rsidP="0072192F">
            <w:pPr>
              <w:pStyle w:val="Tables"/>
              <w:jc w:val="right"/>
              <w:rPr>
                <w:rFonts w:asciiTheme="minorHAnsi" w:hAnsiTheme="minorHAnsi"/>
                <w:color w:val="000000" w:themeColor="text1"/>
                <w:sz w:val="18"/>
                <w:szCs w:val="18"/>
              </w:rPr>
            </w:pPr>
            <w:r w:rsidRPr="001F78E3">
              <w:rPr>
                <w:rFonts w:asciiTheme="minorHAnsi" w:hAnsiTheme="minorHAnsi"/>
                <w:color w:val="000000" w:themeColor="text1"/>
                <w:sz w:val="18"/>
                <w:szCs w:val="18"/>
              </w:rPr>
              <w:t>24</w:t>
            </w:r>
          </w:p>
        </w:tc>
        <w:tc>
          <w:tcPr>
            <w:tcW w:w="1615" w:type="dxa"/>
          </w:tcPr>
          <w:p w14:paraId="007BB2DD" w14:textId="77777777" w:rsidR="001130C6" w:rsidRPr="006278E3" w:rsidRDefault="001130C6" w:rsidP="0072192F">
            <w:pPr>
              <w:pStyle w:val="Tables"/>
              <w:jc w:val="right"/>
              <w:rPr>
                <w:rFonts w:asciiTheme="minorHAnsi" w:hAnsiTheme="minorHAnsi"/>
                <w:color w:val="000000" w:themeColor="text1"/>
                <w:sz w:val="18"/>
                <w:szCs w:val="18"/>
              </w:rPr>
            </w:pPr>
            <w:r w:rsidRPr="006278E3">
              <w:rPr>
                <w:rFonts w:asciiTheme="minorHAnsi" w:hAnsiTheme="minorHAnsi"/>
                <w:color w:val="000000" w:themeColor="text1"/>
                <w:sz w:val="18"/>
                <w:szCs w:val="18"/>
              </w:rPr>
              <w:t>0.29 (0.25, 0.32)</w:t>
            </w:r>
          </w:p>
        </w:tc>
      </w:tr>
      <w:tr w:rsidR="001130C6" w:rsidRPr="00750C7A" w14:paraId="3855EA89" w14:textId="77777777" w:rsidTr="001130C6">
        <w:tc>
          <w:tcPr>
            <w:tcW w:w="3114" w:type="dxa"/>
          </w:tcPr>
          <w:p w14:paraId="4BC7BDB5" w14:textId="77777777" w:rsidR="001130C6" w:rsidRPr="00750C7A" w:rsidRDefault="001130C6" w:rsidP="0072192F">
            <w:pPr>
              <w:pStyle w:val="Tables"/>
              <w:rPr>
                <w:rFonts w:asciiTheme="minorHAnsi" w:hAnsiTheme="minorHAnsi"/>
                <w:sz w:val="18"/>
                <w:szCs w:val="18"/>
              </w:rPr>
            </w:pPr>
            <w:r w:rsidRPr="00750C7A">
              <w:rPr>
                <w:rFonts w:asciiTheme="minorHAnsi" w:hAnsiTheme="minorHAnsi"/>
                <w:sz w:val="18"/>
                <w:szCs w:val="18"/>
              </w:rPr>
              <w:t>Right Lower Extremity</w:t>
            </w:r>
          </w:p>
        </w:tc>
        <w:tc>
          <w:tcPr>
            <w:tcW w:w="1423" w:type="dxa"/>
          </w:tcPr>
          <w:p w14:paraId="48C5A9F9" w14:textId="77777777" w:rsidR="001130C6" w:rsidRPr="001F78E3" w:rsidRDefault="001130C6" w:rsidP="0072192F">
            <w:pPr>
              <w:pStyle w:val="Tables"/>
              <w:jc w:val="right"/>
              <w:rPr>
                <w:rFonts w:asciiTheme="minorHAnsi" w:hAnsiTheme="minorHAnsi"/>
                <w:color w:val="000000" w:themeColor="text1"/>
                <w:sz w:val="18"/>
                <w:szCs w:val="18"/>
              </w:rPr>
            </w:pPr>
            <w:r w:rsidRPr="001F78E3">
              <w:rPr>
                <w:rFonts w:asciiTheme="minorHAnsi" w:hAnsiTheme="minorHAnsi"/>
                <w:color w:val="000000" w:themeColor="text1"/>
                <w:sz w:val="18"/>
                <w:szCs w:val="18"/>
              </w:rPr>
              <w:t>23</w:t>
            </w:r>
          </w:p>
        </w:tc>
        <w:tc>
          <w:tcPr>
            <w:tcW w:w="1461" w:type="dxa"/>
          </w:tcPr>
          <w:p w14:paraId="6216961D" w14:textId="77777777" w:rsidR="001130C6" w:rsidRPr="001F78E3" w:rsidRDefault="001130C6" w:rsidP="0072192F">
            <w:pPr>
              <w:pStyle w:val="Tables"/>
              <w:jc w:val="right"/>
              <w:rPr>
                <w:rFonts w:asciiTheme="minorHAnsi" w:hAnsiTheme="minorHAnsi"/>
                <w:color w:val="000000" w:themeColor="text1"/>
                <w:sz w:val="18"/>
                <w:szCs w:val="18"/>
              </w:rPr>
            </w:pPr>
            <w:r w:rsidRPr="001F78E3">
              <w:rPr>
                <w:rFonts w:asciiTheme="minorHAnsi" w:hAnsiTheme="minorHAnsi"/>
                <w:color w:val="000000" w:themeColor="text1"/>
                <w:sz w:val="18"/>
                <w:szCs w:val="18"/>
              </w:rPr>
              <w:t>25</w:t>
            </w:r>
          </w:p>
        </w:tc>
        <w:tc>
          <w:tcPr>
            <w:tcW w:w="1403" w:type="dxa"/>
          </w:tcPr>
          <w:p w14:paraId="1789BC84" w14:textId="77777777" w:rsidR="001130C6" w:rsidRPr="001F78E3" w:rsidRDefault="001130C6" w:rsidP="0072192F">
            <w:pPr>
              <w:pStyle w:val="Tables"/>
              <w:jc w:val="right"/>
              <w:rPr>
                <w:rFonts w:asciiTheme="minorHAnsi" w:hAnsiTheme="minorHAnsi"/>
                <w:color w:val="000000" w:themeColor="text1"/>
                <w:sz w:val="18"/>
                <w:szCs w:val="18"/>
              </w:rPr>
            </w:pPr>
            <w:r w:rsidRPr="001F78E3">
              <w:rPr>
                <w:rFonts w:asciiTheme="minorHAnsi" w:hAnsiTheme="minorHAnsi"/>
                <w:color w:val="000000" w:themeColor="text1"/>
                <w:sz w:val="18"/>
                <w:szCs w:val="18"/>
              </w:rPr>
              <w:t>28</w:t>
            </w:r>
          </w:p>
        </w:tc>
        <w:tc>
          <w:tcPr>
            <w:tcW w:w="1615" w:type="dxa"/>
          </w:tcPr>
          <w:p w14:paraId="1A11CF99" w14:textId="77777777" w:rsidR="001130C6" w:rsidRPr="006278E3" w:rsidRDefault="001130C6" w:rsidP="0072192F">
            <w:pPr>
              <w:pStyle w:val="Tables"/>
              <w:jc w:val="right"/>
              <w:rPr>
                <w:rFonts w:asciiTheme="minorHAnsi" w:hAnsiTheme="minorHAnsi"/>
                <w:color w:val="000000" w:themeColor="text1"/>
                <w:sz w:val="18"/>
                <w:szCs w:val="18"/>
              </w:rPr>
            </w:pPr>
            <w:r w:rsidRPr="006278E3">
              <w:rPr>
                <w:rFonts w:asciiTheme="minorHAnsi" w:hAnsiTheme="minorHAnsi"/>
                <w:color w:val="000000" w:themeColor="text1"/>
                <w:sz w:val="18"/>
                <w:szCs w:val="18"/>
              </w:rPr>
              <w:t>0.54 (0.48, 0.60)</w:t>
            </w:r>
          </w:p>
        </w:tc>
      </w:tr>
      <w:tr w:rsidR="001130C6" w:rsidRPr="00750C7A" w14:paraId="449D1C0C" w14:textId="77777777" w:rsidTr="001130C6">
        <w:tc>
          <w:tcPr>
            <w:tcW w:w="3114" w:type="dxa"/>
          </w:tcPr>
          <w:p w14:paraId="53136E53" w14:textId="77777777" w:rsidR="001130C6" w:rsidRPr="00750C7A" w:rsidRDefault="001130C6" w:rsidP="0072192F">
            <w:pPr>
              <w:pStyle w:val="Tables"/>
              <w:rPr>
                <w:rFonts w:asciiTheme="minorHAnsi" w:hAnsiTheme="minorHAnsi"/>
                <w:sz w:val="18"/>
                <w:szCs w:val="18"/>
              </w:rPr>
            </w:pPr>
            <w:r w:rsidRPr="00750C7A">
              <w:rPr>
                <w:rFonts w:asciiTheme="minorHAnsi" w:hAnsiTheme="minorHAnsi"/>
                <w:sz w:val="18"/>
                <w:szCs w:val="18"/>
              </w:rPr>
              <w:t>Trunk</w:t>
            </w:r>
          </w:p>
        </w:tc>
        <w:tc>
          <w:tcPr>
            <w:tcW w:w="1423" w:type="dxa"/>
          </w:tcPr>
          <w:p w14:paraId="2B7C36DA" w14:textId="77777777" w:rsidR="001130C6" w:rsidRPr="001F78E3" w:rsidRDefault="001130C6" w:rsidP="0072192F">
            <w:pPr>
              <w:pStyle w:val="Tables"/>
              <w:jc w:val="right"/>
              <w:rPr>
                <w:rFonts w:asciiTheme="minorHAnsi" w:hAnsiTheme="minorHAnsi"/>
                <w:color w:val="000000" w:themeColor="text1"/>
                <w:sz w:val="18"/>
                <w:szCs w:val="18"/>
              </w:rPr>
            </w:pPr>
            <w:r w:rsidRPr="001F78E3">
              <w:rPr>
                <w:rFonts w:asciiTheme="minorHAnsi" w:hAnsiTheme="minorHAnsi"/>
                <w:color w:val="000000" w:themeColor="text1"/>
                <w:sz w:val="18"/>
                <w:szCs w:val="18"/>
              </w:rPr>
              <w:t>7</w:t>
            </w:r>
          </w:p>
        </w:tc>
        <w:tc>
          <w:tcPr>
            <w:tcW w:w="1461" w:type="dxa"/>
          </w:tcPr>
          <w:p w14:paraId="575114B9" w14:textId="77777777" w:rsidR="001130C6" w:rsidRPr="001F78E3" w:rsidRDefault="001130C6" w:rsidP="0072192F">
            <w:pPr>
              <w:pStyle w:val="Tables"/>
              <w:jc w:val="right"/>
              <w:rPr>
                <w:rFonts w:asciiTheme="minorHAnsi" w:hAnsiTheme="minorHAnsi"/>
                <w:color w:val="000000" w:themeColor="text1"/>
                <w:sz w:val="18"/>
                <w:szCs w:val="18"/>
              </w:rPr>
            </w:pPr>
            <w:r w:rsidRPr="001F78E3">
              <w:rPr>
                <w:rFonts w:asciiTheme="minorHAnsi" w:hAnsiTheme="minorHAnsi"/>
                <w:color w:val="000000" w:themeColor="text1"/>
                <w:sz w:val="18"/>
                <w:szCs w:val="18"/>
              </w:rPr>
              <w:t>12</w:t>
            </w:r>
          </w:p>
        </w:tc>
        <w:tc>
          <w:tcPr>
            <w:tcW w:w="1403" w:type="dxa"/>
          </w:tcPr>
          <w:p w14:paraId="5C94DAA4" w14:textId="77777777" w:rsidR="001130C6" w:rsidRPr="001F78E3" w:rsidRDefault="001130C6" w:rsidP="0072192F">
            <w:pPr>
              <w:pStyle w:val="Tables"/>
              <w:jc w:val="right"/>
              <w:rPr>
                <w:rFonts w:asciiTheme="minorHAnsi" w:hAnsiTheme="minorHAnsi"/>
                <w:color w:val="000000" w:themeColor="text1"/>
                <w:sz w:val="18"/>
                <w:szCs w:val="18"/>
              </w:rPr>
            </w:pPr>
            <w:r w:rsidRPr="001F78E3">
              <w:rPr>
                <w:rFonts w:asciiTheme="minorHAnsi" w:hAnsiTheme="minorHAnsi"/>
                <w:color w:val="000000" w:themeColor="text1"/>
                <w:sz w:val="18"/>
                <w:szCs w:val="18"/>
              </w:rPr>
              <w:t>12</w:t>
            </w:r>
          </w:p>
        </w:tc>
        <w:tc>
          <w:tcPr>
            <w:tcW w:w="1615" w:type="dxa"/>
          </w:tcPr>
          <w:p w14:paraId="5594B2D3" w14:textId="77777777" w:rsidR="001130C6" w:rsidRPr="006278E3" w:rsidRDefault="001130C6" w:rsidP="0072192F">
            <w:pPr>
              <w:pStyle w:val="Tables"/>
              <w:jc w:val="right"/>
              <w:rPr>
                <w:rFonts w:asciiTheme="minorHAnsi" w:hAnsiTheme="minorHAnsi"/>
                <w:color w:val="000000" w:themeColor="text1"/>
                <w:sz w:val="18"/>
                <w:szCs w:val="18"/>
              </w:rPr>
            </w:pPr>
            <w:r w:rsidRPr="006278E3">
              <w:rPr>
                <w:rFonts w:asciiTheme="minorHAnsi" w:hAnsiTheme="minorHAnsi"/>
                <w:color w:val="000000" w:themeColor="text1"/>
                <w:sz w:val="18"/>
                <w:szCs w:val="18"/>
              </w:rPr>
              <w:t>0.66 (0.57, 0.75)</w:t>
            </w:r>
          </w:p>
        </w:tc>
      </w:tr>
      <w:tr w:rsidR="001130C6" w:rsidRPr="00750C7A" w14:paraId="05AF3946" w14:textId="77777777" w:rsidTr="001130C6">
        <w:tc>
          <w:tcPr>
            <w:tcW w:w="3114" w:type="dxa"/>
            <w:shd w:val="clear" w:color="auto" w:fill="D9D9D9" w:themeFill="background1" w:themeFillShade="D9"/>
          </w:tcPr>
          <w:p w14:paraId="5A49D891" w14:textId="77777777" w:rsidR="001130C6" w:rsidRPr="00750C7A" w:rsidRDefault="001130C6" w:rsidP="0072192F">
            <w:pPr>
              <w:pStyle w:val="Tables"/>
              <w:tabs>
                <w:tab w:val="right" w:pos="2898"/>
              </w:tabs>
              <w:rPr>
                <w:rFonts w:asciiTheme="minorHAnsi" w:hAnsiTheme="minorHAnsi"/>
                <w:b/>
                <w:sz w:val="18"/>
                <w:szCs w:val="18"/>
              </w:rPr>
            </w:pPr>
            <w:r>
              <w:rPr>
                <w:rFonts w:asciiTheme="minorHAnsi" w:hAnsiTheme="minorHAnsi"/>
                <w:b/>
                <w:sz w:val="18"/>
                <w:szCs w:val="18"/>
              </w:rPr>
              <w:tab/>
            </w:r>
          </w:p>
        </w:tc>
        <w:tc>
          <w:tcPr>
            <w:tcW w:w="1423" w:type="dxa"/>
            <w:shd w:val="clear" w:color="auto" w:fill="D9D9D9" w:themeFill="background1" w:themeFillShade="D9"/>
          </w:tcPr>
          <w:p w14:paraId="5E061534" w14:textId="77777777" w:rsidR="001130C6" w:rsidRPr="00557EA9" w:rsidRDefault="001130C6" w:rsidP="0072192F">
            <w:pPr>
              <w:pStyle w:val="Tables"/>
              <w:jc w:val="right"/>
              <w:rPr>
                <w:rFonts w:asciiTheme="minorHAnsi" w:hAnsiTheme="minorHAnsi"/>
                <w:color w:val="FF0000"/>
                <w:sz w:val="18"/>
                <w:szCs w:val="18"/>
              </w:rPr>
            </w:pPr>
          </w:p>
        </w:tc>
        <w:tc>
          <w:tcPr>
            <w:tcW w:w="1461" w:type="dxa"/>
            <w:shd w:val="clear" w:color="auto" w:fill="D9D9D9" w:themeFill="background1" w:themeFillShade="D9"/>
          </w:tcPr>
          <w:p w14:paraId="2A6866A0" w14:textId="77777777" w:rsidR="001130C6" w:rsidRPr="00557EA9" w:rsidRDefault="001130C6" w:rsidP="0072192F">
            <w:pPr>
              <w:pStyle w:val="Tables"/>
              <w:jc w:val="right"/>
              <w:rPr>
                <w:rFonts w:asciiTheme="minorHAnsi" w:hAnsiTheme="minorHAnsi"/>
                <w:color w:val="FF0000"/>
                <w:sz w:val="18"/>
                <w:szCs w:val="18"/>
              </w:rPr>
            </w:pPr>
          </w:p>
        </w:tc>
        <w:tc>
          <w:tcPr>
            <w:tcW w:w="1403" w:type="dxa"/>
            <w:shd w:val="clear" w:color="auto" w:fill="D9D9D9" w:themeFill="background1" w:themeFillShade="D9"/>
          </w:tcPr>
          <w:p w14:paraId="0235CFD6" w14:textId="77777777" w:rsidR="001130C6" w:rsidRPr="00557EA9" w:rsidRDefault="001130C6" w:rsidP="0072192F">
            <w:pPr>
              <w:pStyle w:val="Tables"/>
              <w:jc w:val="right"/>
              <w:rPr>
                <w:rFonts w:asciiTheme="minorHAnsi" w:hAnsiTheme="minorHAnsi"/>
                <w:color w:val="FF0000"/>
                <w:sz w:val="18"/>
                <w:szCs w:val="18"/>
              </w:rPr>
            </w:pPr>
          </w:p>
        </w:tc>
        <w:tc>
          <w:tcPr>
            <w:tcW w:w="1615" w:type="dxa"/>
            <w:shd w:val="clear" w:color="auto" w:fill="D9D9D9" w:themeFill="background1" w:themeFillShade="D9"/>
          </w:tcPr>
          <w:p w14:paraId="6572F1B2" w14:textId="77777777" w:rsidR="001130C6" w:rsidRPr="00557EA9" w:rsidRDefault="001130C6" w:rsidP="0072192F">
            <w:pPr>
              <w:pStyle w:val="Tables"/>
              <w:jc w:val="right"/>
              <w:rPr>
                <w:rFonts w:asciiTheme="minorHAnsi" w:hAnsiTheme="minorHAnsi"/>
                <w:color w:val="FF0000"/>
                <w:sz w:val="18"/>
                <w:szCs w:val="18"/>
              </w:rPr>
            </w:pPr>
          </w:p>
        </w:tc>
      </w:tr>
      <w:tr w:rsidR="001130C6" w:rsidRPr="00750C7A" w14:paraId="0B464A0C" w14:textId="77777777" w:rsidTr="001130C6">
        <w:tc>
          <w:tcPr>
            <w:tcW w:w="3114" w:type="dxa"/>
          </w:tcPr>
          <w:p w14:paraId="2E34E35C" w14:textId="77777777" w:rsidR="001130C6" w:rsidRPr="00750C7A" w:rsidRDefault="001130C6" w:rsidP="0072192F">
            <w:pPr>
              <w:pStyle w:val="Tables"/>
              <w:rPr>
                <w:rFonts w:asciiTheme="minorHAnsi" w:hAnsiTheme="minorHAnsi"/>
                <w:sz w:val="18"/>
                <w:szCs w:val="18"/>
              </w:rPr>
            </w:pPr>
            <w:r w:rsidRPr="00750C7A">
              <w:rPr>
                <w:rFonts w:asciiTheme="minorHAnsi" w:hAnsiTheme="minorHAnsi"/>
                <w:b/>
                <w:sz w:val="18"/>
                <w:szCs w:val="18"/>
              </w:rPr>
              <w:t>Body Region (</w:t>
            </w:r>
            <w:r>
              <w:rPr>
                <w:rFonts w:asciiTheme="minorHAnsi" w:hAnsiTheme="minorHAnsi"/>
                <w:b/>
                <w:sz w:val="18"/>
                <w:szCs w:val="18"/>
              </w:rPr>
              <w:t>S-</w:t>
            </w:r>
            <w:proofErr w:type="spellStart"/>
            <w:r>
              <w:rPr>
                <w:rFonts w:asciiTheme="minorHAnsi" w:hAnsiTheme="minorHAnsi"/>
                <w:b/>
                <w:sz w:val="18"/>
                <w:szCs w:val="18"/>
              </w:rPr>
              <w:t>FMDRS</w:t>
            </w:r>
            <w:proofErr w:type="spellEnd"/>
            <w:r w:rsidRPr="00750C7A">
              <w:rPr>
                <w:rFonts w:asciiTheme="minorHAnsi" w:hAnsiTheme="minorHAnsi"/>
                <w:b/>
                <w:sz w:val="18"/>
                <w:szCs w:val="18"/>
              </w:rPr>
              <w:t>)</w:t>
            </w:r>
          </w:p>
        </w:tc>
        <w:tc>
          <w:tcPr>
            <w:tcW w:w="1423" w:type="dxa"/>
          </w:tcPr>
          <w:p w14:paraId="3E030B5A" w14:textId="77777777" w:rsidR="001130C6" w:rsidRPr="00557EA9" w:rsidRDefault="001130C6" w:rsidP="0072192F">
            <w:pPr>
              <w:pStyle w:val="Tables"/>
              <w:jc w:val="right"/>
              <w:rPr>
                <w:rFonts w:asciiTheme="minorHAnsi" w:hAnsiTheme="minorHAnsi"/>
                <w:color w:val="FF0000"/>
                <w:sz w:val="18"/>
                <w:szCs w:val="18"/>
              </w:rPr>
            </w:pPr>
          </w:p>
        </w:tc>
        <w:tc>
          <w:tcPr>
            <w:tcW w:w="1461" w:type="dxa"/>
          </w:tcPr>
          <w:p w14:paraId="15D747C0" w14:textId="77777777" w:rsidR="001130C6" w:rsidRPr="00557EA9" w:rsidRDefault="001130C6" w:rsidP="0072192F">
            <w:pPr>
              <w:pStyle w:val="Tables"/>
              <w:jc w:val="right"/>
              <w:rPr>
                <w:rFonts w:asciiTheme="minorHAnsi" w:hAnsiTheme="minorHAnsi"/>
                <w:color w:val="FF0000"/>
                <w:sz w:val="18"/>
                <w:szCs w:val="18"/>
              </w:rPr>
            </w:pPr>
          </w:p>
        </w:tc>
        <w:tc>
          <w:tcPr>
            <w:tcW w:w="1403" w:type="dxa"/>
          </w:tcPr>
          <w:p w14:paraId="7EE8523C" w14:textId="77777777" w:rsidR="001130C6" w:rsidRPr="00557EA9" w:rsidRDefault="001130C6" w:rsidP="0072192F">
            <w:pPr>
              <w:pStyle w:val="Tables"/>
              <w:jc w:val="right"/>
              <w:rPr>
                <w:rFonts w:asciiTheme="minorHAnsi" w:hAnsiTheme="minorHAnsi"/>
                <w:color w:val="FF0000"/>
                <w:sz w:val="18"/>
                <w:szCs w:val="18"/>
              </w:rPr>
            </w:pPr>
          </w:p>
        </w:tc>
        <w:tc>
          <w:tcPr>
            <w:tcW w:w="1615" w:type="dxa"/>
          </w:tcPr>
          <w:p w14:paraId="31A7BE8F" w14:textId="77777777" w:rsidR="001130C6" w:rsidRPr="00557EA9" w:rsidRDefault="001130C6" w:rsidP="0072192F">
            <w:pPr>
              <w:pStyle w:val="Tables"/>
              <w:jc w:val="right"/>
              <w:rPr>
                <w:rFonts w:asciiTheme="minorHAnsi" w:hAnsiTheme="minorHAnsi"/>
                <w:color w:val="FF0000"/>
                <w:sz w:val="18"/>
                <w:szCs w:val="18"/>
              </w:rPr>
            </w:pPr>
          </w:p>
        </w:tc>
      </w:tr>
      <w:tr w:rsidR="001130C6" w:rsidRPr="00750C7A" w14:paraId="3CCC191F" w14:textId="77777777" w:rsidTr="001130C6">
        <w:tc>
          <w:tcPr>
            <w:tcW w:w="3114" w:type="dxa"/>
          </w:tcPr>
          <w:p w14:paraId="22935686" w14:textId="77777777" w:rsidR="001130C6" w:rsidRPr="00750C7A" w:rsidRDefault="001130C6" w:rsidP="0072192F">
            <w:pPr>
              <w:pStyle w:val="Tables"/>
              <w:rPr>
                <w:rFonts w:asciiTheme="minorHAnsi" w:hAnsiTheme="minorHAnsi"/>
                <w:sz w:val="18"/>
                <w:szCs w:val="18"/>
              </w:rPr>
            </w:pPr>
            <w:r w:rsidRPr="00750C7A">
              <w:rPr>
                <w:rFonts w:asciiTheme="minorHAnsi" w:hAnsiTheme="minorHAnsi"/>
                <w:sz w:val="18"/>
                <w:szCs w:val="18"/>
              </w:rPr>
              <w:t>Face &amp; tongue</w:t>
            </w:r>
          </w:p>
        </w:tc>
        <w:tc>
          <w:tcPr>
            <w:tcW w:w="1423" w:type="dxa"/>
          </w:tcPr>
          <w:p w14:paraId="096B13F2" w14:textId="77777777" w:rsidR="001130C6" w:rsidRPr="00104AC7" w:rsidRDefault="001130C6" w:rsidP="0072192F">
            <w:pPr>
              <w:pStyle w:val="Tables"/>
              <w:jc w:val="right"/>
              <w:rPr>
                <w:rFonts w:asciiTheme="minorHAnsi" w:hAnsiTheme="minorHAnsi"/>
                <w:color w:val="000000" w:themeColor="text1"/>
                <w:sz w:val="18"/>
                <w:szCs w:val="18"/>
              </w:rPr>
            </w:pPr>
            <w:r w:rsidRPr="00104AC7">
              <w:rPr>
                <w:rFonts w:asciiTheme="minorHAnsi" w:hAnsiTheme="minorHAnsi"/>
                <w:color w:val="000000" w:themeColor="text1"/>
                <w:sz w:val="18"/>
                <w:szCs w:val="18"/>
              </w:rPr>
              <w:t>11</w:t>
            </w:r>
          </w:p>
        </w:tc>
        <w:tc>
          <w:tcPr>
            <w:tcW w:w="1461" w:type="dxa"/>
          </w:tcPr>
          <w:p w14:paraId="6BE8E668" w14:textId="77777777" w:rsidR="001130C6" w:rsidRPr="00104AC7" w:rsidRDefault="001130C6" w:rsidP="0072192F">
            <w:pPr>
              <w:pStyle w:val="Tables"/>
              <w:jc w:val="right"/>
              <w:rPr>
                <w:rFonts w:asciiTheme="minorHAnsi" w:hAnsiTheme="minorHAnsi"/>
                <w:color w:val="000000" w:themeColor="text1"/>
                <w:sz w:val="18"/>
                <w:szCs w:val="18"/>
              </w:rPr>
            </w:pPr>
            <w:r w:rsidRPr="00104AC7">
              <w:rPr>
                <w:rFonts w:asciiTheme="minorHAnsi" w:hAnsiTheme="minorHAnsi"/>
                <w:color w:val="000000" w:themeColor="text1"/>
                <w:sz w:val="18"/>
                <w:szCs w:val="18"/>
              </w:rPr>
              <w:t>14</w:t>
            </w:r>
          </w:p>
        </w:tc>
        <w:tc>
          <w:tcPr>
            <w:tcW w:w="1403" w:type="dxa"/>
          </w:tcPr>
          <w:p w14:paraId="60DC0629" w14:textId="77777777" w:rsidR="001130C6" w:rsidRPr="00104AC7" w:rsidRDefault="001130C6" w:rsidP="0072192F">
            <w:pPr>
              <w:pStyle w:val="Tables"/>
              <w:jc w:val="right"/>
              <w:rPr>
                <w:rFonts w:asciiTheme="minorHAnsi" w:hAnsiTheme="minorHAnsi"/>
                <w:color w:val="000000" w:themeColor="text1"/>
                <w:sz w:val="18"/>
                <w:szCs w:val="18"/>
              </w:rPr>
            </w:pPr>
            <w:r w:rsidRPr="00104AC7">
              <w:rPr>
                <w:rFonts w:asciiTheme="minorHAnsi" w:hAnsiTheme="minorHAnsi"/>
                <w:color w:val="000000" w:themeColor="text1"/>
                <w:sz w:val="18"/>
                <w:szCs w:val="18"/>
              </w:rPr>
              <w:t>17</w:t>
            </w:r>
          </w:p>
        </w:tc>
        <w:tc>
          <w:tcPr>
            <w:tcW w:w="1615" w:type="dxa"/>
          </w:tcPr>
          <w:p w14:paraId="73E53FC3" w14:textId="77777777" w:rsidR="001130C6" w:rsidRPr="00104AC7" w:rsidRDefault="001130C6" w:rsidP="0072192F">
            <w:pPr>
              <w:pStyle w:val="Tables"/>
              <w:jc w:val="right"/>
              <w:rPr>
                <w:rFonts w:asciiTheme="minorHAnsi" w:hAnsiTheme="minorHAnsi"/>
                <w:color w:val="000000" w:themeColor="text1"/>
                <w:sz w:val="18"/>
                <w:szCs w:val="18"/>
              </w:rPr>
            </w:pPr>
            <w:r w:rsidRPr="00104AC7">
              <w:rPr>
                <w:rFonts w:asciiTheme="minorHAnsi" w:hAnsiTheme="minorHAnsi"/>
                <w:color w:val="000000" w:themeColor="text1"/>
                <w:sz w:val="18"/>
                <w:szCs w:val="18"/>
              </w:rPr>
              <w:t>0.48 (0.42, 0.55)</w:t>
            </w:r>
          </w:p>
        </w:tc>
      </w:tr>
      <w:tr w:rsidR="001130C6" w:rsidRPr="00750C7A" w14:paraId="0EB10FC8" w14:textId="77777777" w:rsidTr="001130C6">
        <w:tc>
          <w:tcPr>
            <w:tcW w:w="3114" w:type="dxa"/>
          </w:tcPr>
          <w:p w14:paraId="7CEC88B5" w14:textId="77777777" w:rsidR="001130C6" w:rsidRPr="00750C7A" w:rsidRDefault="001130C6" w:rsidP="0072192F">
            <w:pPr>
              <w:pStyle w:val="Tables"/>
              <w:rPr>
                <w:rFonts w:asciiTheme="minorHAnsi" w:hAnsiTheme="minorHAnsi"/>
                <w:sz w:val="18"/>
                <w:szCs w:val="18"/>
              </w:rPr>
            </w:pPr>
            <w:r w:rsidRPr="00750C7A">
              <w:rPr>
                <w:rFonts w:asciiTheme="minorHAnsi" w:hAnsiTheme="minorHAnsi"/>
                <w:sz w:val="18"/>
                <w:szCs w:val="18"/>
              </w:rPr>
              <w:t>Head &amp; neck</w:t>
            </w:r>
          </w:p>
        </w:tc>
        <w:tc>
          <w:tcPr>
            <w:tcW w:w="1423" w:type="dxa"/>
          </w:tcPr>
          <w:p w14:paraId="19458EC7" w14:textId="77777777" w:rsidR="001130C6" w:rsidRPr="00104AC7" w:rsidRDefault="001130C6" w:rsidP="0072192F">
            <w:pPr>
              <w:pStyle w:val="Tables"/>
              <w:jc w:val="right"/>
              <w:rPr>
                <w:rFonts w:asciiTheme="minorHAnsi" w:hAnsiTheme="minorHAnsi"/>
                <w:color w:val="000000" w:themeColor="text1"/>
                <w:sz w:val="18"/>
                <w:szCs w:val="18"/>
              </w:rPr>
            </w:pPr>
            <w:r w:rsidRPr="00104AC7">
              <w:rPr>
                <w:rFonts w:asciiTheme="minorHAnsi" w:hAnsiTheme="minorHAnsi"/>
                <w:color w:val="000000" w:themeColor="text1"/>
                <w:sz w:val="18"/>
                <w:szCs w:val="18"/>
              </w:rPr>
              <w:t>12</w:t>
            </w:r>
          </w:p>
        </w:tc>
        <w:tc>
          <w:tcPr>
            <w:tcW w:w="1461" w:type="dxa"/>
          </w:tcPr>
          <w:p w14:paraId="1C83280F" w14:textId="77777777" w:rsidR="001130C6" w:rsidRPr="00104AC7" w:rsidRDefault="001130C6" w:rsidP="0072192F">
            <w:pPr>
              <w:pStyle w:val="Tables"/>
              <w:jc w:val="right"/>
              <w:rPr>
                <w:rFonts w:asciiTheme="minorHAnsi" w:hAnsiTheme="minorHAnsi"/>
                <w:color w:val="000000" w:themeColor="text1"/>
                <w:sz w:val="18"/>
                <w:szCs w:val="18"/>
              </w:rPr>
            </w:pPr>
            <w:r w:rsidRPr="00104AC7">
              <w:rPr>
                <w:rFonts w:asciiTheme="minorHAnsi" w:hAnsiTheme="minorHAnsi"/>
                <w:color w:val="000000" w:themeColor="text1"/>
                <w:sz w:val="18"/>
                <w:szCs w:val="18"/>
              </w:rPr>
              <w:t>23</w:t>
            </w:r>
          </w:p>
        </w:tc>
        <w:tc>
          <w:tcPr>
            <w:tcW w:w="1403" w:type="dxa"/>
          </w:tcPr>
          <w:p w14:paraId="6EA49107" w14:textId="77777777" w:rsidR="001130C6" w:rsidRPr="00104AC7" w:rsidRDefault="001130C6" w:rsidP="0072192F">
            <w:pPr>
              <w:pStyle w:val="Tables"/>
              <w:jc w:val="right"/>
              <w:rPr>
                <w:rFonts w:asciiTheme="minorHAnsi" w:hAnsiTheme="minorHAnsi"/>
                <w:color w:val="000000" w:themeColor="text1"/>
                <w:sz w:val="18"/>
                <w:szCs w:val="18"/>
              </w:rPr>
            </w:pPr>
            <w:r w:rsidRPr="00104AC7">
              <w:rPr>
                <w:rFonts w:asciiTheme="minorHAnsi" w:hAnsiTheme="minorHAnsi"/>
                <w:color w:val="000000" w:themeColor="text1"/>
                <w:sz w:val="18"/>
                <w:szCs w:val="18"/>
              </w:rPr>
              <w:t>16</w:t>
            </w:r>
          </w:p>
        </w:tc>
        <w:tc>
          <w:tcPr>
            <w:tcW w:w="1615" w:type="dxa"/>
          </w:tcPr>
          <w:p w14:paraId="3A5CA19E" w14:textId="77777777" w:rsidR="001130C6" w:rsidRPr="00104AC7" w:rsidRDefault="001130C6" w:rsidP="0072192F">
            <w:pPr>
              <w:pStyle w:val="Tables"/>
              <w:jc w:val="right"/>
              <w:rPr>
                <w:rFonts w:asciiTheme="minorHAnsi" w:hAnsiTheme="minorHAnsi"/>
                <w:color w:val="000000" w:themeColor="text1"/>
                <w:sz w:val="18"/>
                <w:szCs w:val="18"/>
              </w:rPr>
            </w:pPr>
            <w:r w:rsidRPr="00104AC7">
              <w:rPr>
                <w:rFonts w:asciiTheme="minorHAnsi" w:hAnsiTheme="minorHAnsi"/>
                <w:color w:val="000000" w:themeColor="text1"/>
                <w:sz w:val="18"/>
                <w:szCs w:val="18"/>
              </w:rPr>
              <w:t>0.54 (0.48, 0.61)</w:t>
            </w:r>
          </w:p>
        </w:tc>
      </w:tr>
      <w:tr w:rsidR="001130C6" w:rsidRPr="00750C7A" w14:paraId="48BA99FD" w14:textId="77777777" w:rsidTr="001130C6">
        <w:tc>
          <w:tcPr>
            <w:tcW w:w="3114" w:type="dxa"/>
          </w:tcPr>
          <w:p w14:paraId="39B715EB" w14:textId="77777777" w:rsidR="001130C6" w:rsidRPr="00750C7A" w:rsidRDefault="001130C6" w:rsidP="0072192F">
            <w:pPr>
              <w:pStyle w:val="Tables"/>
              <w:rPr>
                <w:rFonts w:asciiTheme="minorHAnsi" w:hAnsiTheme="minorHAnsi"/>
                <w:sz w:val="18"/>
                <w:szCs w:val="18"/>
              </w:rPr>
            </w:pPr>
            <w:r w:rsidRPr="00750C7A">
              <w:rPr>
                <w:rFonts w:asciiTheme="minorHAnsi" w:hAnsiTheme="minorHAnsi"/>
                <w:sz w:val="18"/>
                <w:szCs w:val="18"/>
              </w:rPr>
              <w:t>Left upper limb &amp; shoulder girdle</w:t>
            </w:r>
          </w:p>
        </w:tc>
        <w:tc>
          <w:tcPr>
            <w:tcW w:w="1423" w:type="dxa"/>
          </w:tcPr>
          <w:p w14:paraId="3FD09CEE" w14:textId="77777777" w:rsidR="001130C6" w:rsidRPr="00104AC7" w:rsidRDefault="001130C6" w:rsidP="0072192F">
            <w:pPr>
              <w:pStyle w:val="Tables"/>
              <w:jc w:val="right"/>
              <w:rPr>
                <w:rFonts w:asciiTheme="minorHAnsi" w:hAnsiTheme="minorHAnsi"/>
                <w:color w:val="000000" w:themeColor="text1"/>
                <w:sz w:val="18"/>
                <w:szCs w:val="18"/>
              </w:rPr>
            </w:pPr>
            <w:r w:rsidRPr="00104AC7">
              <w:rPr>
                <w:rFonts w:asciiTheme="minorHAnsi" w:hAnsiTheme="minorHAnsi"/>
                <w:color w:val="000000" w:themeColor="text1"/>
                <w:sz w:val="18"/>
                <w:szCs w:val="18"/>
              </w:rPr>
              <w:t>19</w:t>
            </w:r>
          </w:p>
        </w:tc>
        <w:tc>
          <w:tcPr>
            <w:tcW w:w="1461" w:type="dxa"/>
          </w:tcPr>
          <w:p w14:paraId="41213805" w14:textId="77777777" w:rsidR="001130C6" w:rsidRPr="00104AC7" w:rsidRDefault="001130C6" w:rsidP="0072192F">
            <w:pPr>
              <w:pStyle w:val="Tables"/>
              <w:jc w:val="right"/>
              <w:rPr>
                <w:rFonts w:asciiTheme="minorHAnsi" w:hAnsiTheme="minorHAnsi"/>
                <w:color w:val="000000" w:themeColor="text1"/>
                <w:sz w:val="18"/>
                <w:szCs w:val="18"/>
              </w:rPr>
            </w:pPr>
            <w:r w:rsidRPr="00104AC7">
              <w:rPr>
                <w:rFonts w:asciiTheme="minorHAnsi" w:hAnsiTheme="minorHAnsi"/>
                <w:color w:val="000000" w:themeColor="text1"/>
                <w:sz w:val="18"/>
                <w:szCs w:val="18"/>
              </w:rPr>
              <w:t>28</w:t>
            </w:r>
          </w:p>
        </w:tc>
        <w:tc>
          <w:tcPr>
            <w:tcW w:w="1403" w:type="dxa"/>
          </w:tcPr>
          <w:p w14:paraId="326EDE53" w14:textId="77777777" w:rsidR="001130C6" w:rsidRPr="00104AC7" w:rsidRDefault="001130C6" w:rsidP="0072192F">
            <w:pPr>
              <w:pStyle w:val="Tables"/>
              <w:jc w:val="right"/>
              <w:rPr>
                <w:rFonts w:asciiTheme="minorHAnsi" w:hAnsiTheme="minorHAnsi"/>
                <w:color w:val="000000" w:themeColor="text1"/>
                <w:sz w:val="18"/>
                <w:szCs w:val="18"/>
              </w:rPr>
            </w:pPr>
            <w:r w:rsidRPr="00104AC7">
              <w:rPr>
                <w:rFonts w:asciiTheme="minorHAnsi" w:hAnsiTheme="minorHAnsi"/>
                <w:color w:val="000000" w:themeColor="text1"/>
                <w:sz w:val="18"/>
                <w:szCs w:val="18"/>
              </w:rPr>
              <w:t>34</w:t>
            </w:r>
          </w:p>
        </w:tc>
        <w:tc>
          <w:tcPr>
            <w:tcW w:w="1615" w:type="dxa"/>
          </w:tcPr>
          <w:p w14:paraId="6253ED11" w14:textId="77777777" w:rsidR="001130C6" w:rsidRPr="00104AC7" w:rsidRDefault="001130C6" w:rsidP="0072192F">
            <w:pPr>
              <w:pStyle w:val="Tables"/>
              <w:jc w:val="right"/>
              <w:rPr>
                <w:rFonts w:asciiTheme="minorHAnsi" w:hAnsiTheme="minorHAnsi"/>
                <w:color w:val="000000" w:themeColor="text1"/>
                <w:sz w:val="18"/>
                <w:szCs w:val="18"/>
              </w:rPr>
            </w:pPr>
            <w:r w:rsidRPr="00104AC7">
              <w:rPr>
                <w:rFonts w:asciiTheme="minorHAnsi" w:hAnsiTheme="minorHAnsi"/>
                <w:color w:val="000000" w:themeColor="text1"/>
                <w:sz w:val="18"/>
                <w:szCs w:val="18"/>
              </w:rPr>
              <w:t>0.50 (0.45, 0.55)</w:t>
            </w:r>
          </w:p>
        </w:tc>
      </w:tr>
      <w:tr w:rsidR="001130C6" w:rsidRPr="00750C7A" w14:paraId="0F81C71D" w14:textId="77777777" w:rsidTr="001130C6">
        <w:tc>
          <w:tcPr>
            <w:tcW w:w="3114" w:type="dxa"/>
          </w:tcPr>
          <w:p w14:paraId="39B25F92" w14:textId="77777777" w:rsidR="001130C6" w:rsidRPr="00750C7A" w:rsidRDefault="001130C6" w:rsidP="0072192F">
            <w:pPr>
              <w:pStyle w:val="Tables"/>
              <w:rPr>
                <w:rFonts w:asciiTheme="minorHAnsi" w:hAnsiTheme="minorHAnsi"/>
                <w:sz w:val="18"/>
                <w:szCs w:val="18"/>
              </w:rPr>
            </w:pPr>
            <w:r w:rsidRPr="00750C7A">
              <w:rPr>
                <w:rFonts w:asciiTheme="minorHAnsi" w:hAnsiTheme="minorHAnsi"/>
                <w:sz w:val="18"/>
                <w:szCs w:val="18"/>
              </w:rPr>
              <w:t>Right upper limb &amp; shoulder girdle</w:t>
            </w:r>
          </w:p>
        </w:tc>
        <w:tc>
          <w:tcPr>
            <w:tcW w:w="1423" w:type="dxa"/>
          </w:tcPr>
          <w:p w14:paraId="0B0923A8" w14:textId="77777777" w:rsidR="001130C6" w:rsidRPr="00104AC7" w:rsidRDefault="001130C6" w:rsidP="0072192F">
            <w:pPr>
              <w:pStyle w:val="Tables"/>
              <w:jc w:val="right"/>
              <w:rPr>
                <w:rFonts w:asciiTheme="minorHAnsi" w:hAnsiTheme="minorHAnsi"/>
                <w:color w:val="000000" w:themeColor="text1"/>
                <w:sz w:val="18"/>
                <w:szCs w:val="18"/>
              </w:rPr>
            </w:pPr>
            <w:r w:rsidRPr="00104AC7">
              <w:rPr>
                <w:rFonts w:asciiTheme="minorHAnsi" w:hAnsiTheme="minorHAnsi"/>
                <w:color w:val="000000" w:themeColor="text1"/>
                <w:sz w:val="18"/>
                <w:szCs w:val="18"/>
              </w:rPr>
              <w:t>21</w:t>
            </w:r>
          </w:p>
        </w:tc>
        <w:tc>
          <w:tcPr>
            <w:tcW w:w="1461" w:type="dxa"/>
          </w:tcPr>
          <w:p w14:paraId="78A99FAC" w14:textId="77777777" w:rsidR="001130C6" w:rsidRPr="00104AC7" w:rsidRDefault="001130C6" w:rsidP="0072192F">
            <w:pPr>
              <w:pStyle w:val="Tables"/>
              <w:jc w:val="right"/>
              <w:rPr>
                <w:rFonts w:asciiTheme="minorHAnsi" w:hAnsiTheme="minorHAnsi"/>
                <w:color w:val="000000" w:themeColor="text1"/>
                <w:sz w:val="18"/>
                <w:szCs w:val="18"/>
              </w:rPr>
            </w:pPr>
            <w:r w:rsidRPr="00104AC7">
              <w:rPr>
                <w:rFonts w:asciiTheme="minorHAnsi" w:hAnsiTheme="minorHAnsi"/>
                <w:color w:val="000000" w:themeColor="text1"/>
                <w:sz w:val="18"/>
                <w:szCs w:val="18"/>
              </w:rPr>
              <w:t>26</w:t>
            </w:r>
          </w:p>
        </w:tc>
        <w:tc>
          <w:tcPr>
            <w:tcW w:w="1403" w:type="dxa"/>
          </w:tcPr>
          <w:p w14:paraId="1E5F79CE" w14:textId="77777777" w:rsidR="001130C6" w:rsidRPr="00104AC7" w:rsidRDefault="001130C6" w:rsidP="0072192F">
            <w:pPr>
              <w:pStyle w:val="Tables"/>
              <w:jc w:val="right"/>
              <w:rPr>
                <w:rFonts w:asciiTheme="minorHAnsi" w:hAnsiTheme="minorHAnsi"/>
                <w:color w:val="000000" w:themeColor="text1"/>
                <w:sz w:val="18"/>
                <w:szCs w:val="18"/>
              </w:rPr>
            </w:pPr>
            <w:r w:rsidRPr="00104AC7">
              <w:rPr>
                <w:rFonts w:asciiTheme="minorHAnsi" w:hAnsiTheme="minorHAnsi"/>
                <w:color w:val="000000" w:themeColor="text1"/>
                <w:sz w:val="18"/>
                <w:szCs w:val="18"/>
              </w:rPr>
              <w:t>38</w:t>
            </w:r>
          </w:p>
        </w:tc>
        <w:tc>
          <w:tcPr>
            <w:tcW w:w="1615" w:type="dxa"/>
          </w:tcPr>
          <w:p w14:paraId="4FD0921A" w14:textId="77777777" w:rsidR="001130C6" w:rsidRPr="00104AC7" w:rsidRDefault="001130C6" w:rsidP="0072192F">
            <w:pPr>
              <w:pStyle w:val="Tables"/>
              <w:jc w:val="right"/>
              <w:rPr>
                <w:rFonts w:asciiTheme="minorHAnsi" w:hAnsiTheme="minorHAnsi"/>
                <w:color w:val="000000" w:themeColor="text1"/>
                <w:sz w:val="18"/>
                <w:szCs w:val="18"/>
              </w:rPr>
            </w:pPr>
            <w:r w:rsidRPr="00104AC7">
              <w:rPr>
                <w:rFonts w:asciiTheme="minorHAnsi" w:hAnsiTheme="minorHAnsi"/>
                <w:color w:val="000000" w:themeColor="text1"/>
                <w:sz w:val="18"/>
                <w:szCs w:val="18"/>
              </w:rPr>
              <w:t>0.53 (0.48, 0.58)</w:t>
            </w:r>
          </w:p>
        </w:tc>
      </w:tr>
      <w:tr w:rsidR="001130C6" w:rsidRPr="00750C7A" w14:paraId="354338D2" w14:textId="77777777" w:rsidTr="001130C6">
        <w:tc>
          <w:tcPr>
            <w:tcW w:w="3114" w:type="dxa"/>
          </w:tcPr>
          <w:p w14:paraId="00C06AF2" w14:textId="77777777" w:rsidR="001130C6" w:rsidRPr="00750C7A" w:rsidRDefault="001130C6" w:rsidP="0072192F">
            <w:pPr>
              <w:pStyle w:val="Tables"/>
              <w:rPr>
                <w:rFonts w:asciiTheme="minorHAnsi" w:hAnsiTheme="minorHAnsi"/>
                <w:sz w:val="18"/>
                <w:szCs w:val="18"/>
              </w:rPr>
            </w:pPr>
            <w:r w:rsidRPr="00750C7A">
              <w:rPr>
                <w:rFonts w:asciiTheme="minorHAnsi" w:hAnsiTheme="minorHAnsi"/>
                <w:sz w:val="18"/>
                <w:szCs w:val="18"/>
              </w:rPr>
              <w:t>Trunk &amp; abdomen</w:t>
            </w:r>
          </w:p>
        </w:tc>
        <w:tc>
          <w:tcPr>
            <w:tcW w:w="1423" w:type="dxa"/>
          </w:tcPr>
          <w:p w14:paraId="70D37D5C" w14:textId="77777777" w:rsidR="001130C6" w:rsidRPr="00104AC7" w:rsidRDefault="001130C6" w:rsidP="0072192F">
            <w:pPr>
              <w:pStyle w:val="Tables"/>
              <w:jc w:val="right"/>
              <w:rPr>
                <w:rFonts w:asciiTheme="minorHAnsi" w:hAnsiTheme="minorHAnsi"/>
                <w:color w:val="000000" w:themeColor="text1"/>
                <w:sz w:val="18"/>
                <w:szCs w:val="18"/>
              </w:rPr>
            </w:pPr>
            <w:r w:rsidRPr="00104AC7">
              <w:rPr>
                <w:rFonts w:asciiTheme="minorHAnsi" w:hAnsiTheme="minorHAnsi"/>
                <w:color w:val="000000" w:themeColor="text1"/>
                <w:sz w:val="18"/>
                <w:szCs w:val="18"/>
              </w:rPr>
              <w:t>7</w:t>
            </w:r>
          </w:p>
        </w:tc>
        <w:tc>
          <w:tcPr>
            <w:tcW w:w="1461" w:type="dxa"/>
          </w:tcPr>
          <w:p w14:paraId="7C7D1C25" w14:textId="77777777" w:rsidR="001130C6" w:rsidRPr="00104AC7" w:rsidRDefault="001130C6" w:rsidP="0072192F">
            <w:pPr>
              <w:pStyle w:val="Tables"/>
              <w:jc w:val="right"/>
              <w:rPr>
                <w:rFonts w:asciiTheme="minorHAnsi" w:hAnsiTheme="minorHAnsi"/>
                <w:color w:val="000000" w:themeColor="text1"/>
                <w:sz w:val="18"/>
                <w:szCs w:val="18"/>
              </w:rPr>
            </w:pPr>
            <w:r w:rsidRPr="00104AC7">
              <w:rPr>
                <w:rFonts w:asciiTheme="minorHAnsi" w:hAnsiTheme="minorHAnsi"/>
                <w:color w:val="000000" w:themeColor="text1"/>
                <w:sz w:val="18"/>
                <w:szCs w:val="18"/>
              </w:rPr>
              <w:t>13</w:t>
            </w:r>
          </w:p>
        </w:tc>
        <w:tc>
          <w:tcPr>
            <w:tcW w:w="1403" w:type="dxa"/>
          </w:tcPr>
          <w:p w14:paraId="66ADA835" w14:textId="77777777" w:rsidR="001130C6" w:rsidRPr="00104AC7" w:rsidRDefault="001130C6" w:rsidP="0072192F">
            <w:pPr>
              <w:pStyle w:val="Tables"/>
              <w:jc w:val="right"/>
              <w:rPr>
                <w:rFonts w:asciiTheme="minorHAnsi" w:hAnsiTheme="minorHAnsi"/>
                <w:color w:val="000000" w:themeColor="text1"/>
                <w:sz w:val="18"/>
                <w:szCs w:val="18"/>
              </w:rPr>
            </w:pPr>
            <w:r w:rsidRPr="00104AC7">
              <w:rPr>
                <w:rFonts w:asciiTheme="minorHAnsi" w:hAnsiTheme="minorHAnsi"/>
                <w:color w:val="000000" w:themeColor="text1"/>
                <w:sz w:val="18"/>
                <w:szCs w:val="18"/>
              </w:rPr>
              <w:t>14</w:t>
            </w:r>
          </w:p>
        </w:tc>
        <w:tc>
          <w:tcPr>
            <w:tcW w:w="1615" w:type="dxa"/>
          </w:tcPr>
          <w:p w14:paraId="2F1AE155" w14:textId="77777777" w:rsidR="001130C6" w:rsidRPr="00104AC7" w:rsidRDefault="001130C6" w:rsidP="0072192F">
            <w:pPr>
              <w:pStyle w:val="Tables"/>
              <w:jc w:val="right"/>
              <w:rPr>
                <w:rFonts w:asciiTheme="minorHAnsi" w:hAnsiTheme="minorHAnsi"/>
                <w:color w:val="000000" w:themeColor="text1"/>
                <w:sz w:val="18"/>
                <w:szCs w:val="18"/>
              </w:rPr>
            </w:pPr>
            <w:r w:rsidRPr="00104AC7">
              <w:rPr>
                <w:rFonts w:asciiTheme="minorHAnsi" w:hAnsiTheme="minorHAnsi"/>
                <w:color w:val="000000" w:themeColor="text1"/>
                <w:sz w:val="18"/>
                <w:szCs w:val="18"/>
              </w:rPr>
              <w:t>0.63 (0.55, 0.71)</w:t>
            </w:r>
          </w:p>
        </w:tc>
      </w:tr>
      <w:tr w:rsidR="001130C6" w:rsidRPr="00750C7A" w14:paraId="1E889DFD" w14:textId="77777777" w:rsidTr="001130C6">
        <w:tc>
          <w:tcPr>
            <w:tcW w:w="3114" w:type="dxa"/>
          </w:tcPr>
          <w:p w14:paraId="6EE799F1" w14:textId="77777777" w:rsidR="001130C6" w:rsidRPr="00750C7A" w:rsidRDefault="001130C6" w:rsidP="0072192F">
            <w:pPr>
              <w:pStyle w:val="Tables"/>
              <w:rPr>
                <w:rFonts w:asciiTheme="minorHAnsi" w:hAnsiTheme="minorHAnsi"/>
                <w:sz w:val="18"/>
                <w:szCs w:val="18"/>
              </w:rPr>
            </w:pPr>
            <w:r w:rsidRPr="00750C7A">
              <w:rPr>
                <w:rFonts w:asciiTheme="minorHAnsi" w:hAnsiTheme="minorHAnsi"/>
                <w:sz w:val="18"/>
                <w:szCs w:val="18"/>
              </w:rPr>
              <w:t>Left lower limb</w:t>
            </w:r>
          </w:p>
        </w:tc>
        <w:tc>
          <w:tcPr>
            <w:tcW w:w="1423" w:type="dxa"/>
          </w:tcPr>
          <w:p w14:paraId="4609A198" w14:textId="77777777" w:rsidR="001130C6" w:rsidRPr="00104AC7" w:rsidRDefault="001130C6" w:rsidP="0072192F">
            <w:pPr>
              <w:pStyle w:val="Tables"/>
              <w:jc w:val="right"/>
              <w:rPr>
                <w:rFonts w:asciiTheme="minorHAnsi" w:hAnsiTheme="minorHAnsi"/>
                <w:color w:val="000000" w:themeColor="text1"/>
                <w:sz w:val="18"/>
                <w:szCs w:val="18"/>
              </w:rPr>
            </w:pPr>
            <w:r w:rsidRPr="00104AC7">
              <w:rPr>
                <w:rFonts w:asciiTheme="minorHAnsi" w:hAnsiTheme="minorHAnsi"/>
                <w:color w:val="000000" w:themeColor="text1"/>
                <w:sz w:val="18"/>
                <w:szCs w:val="18"/>
              </w:rPr>
              <w:t>28</w:t>
            </w:r>
          </w:p>
        </w:tc>
        <w:tc>
          <w:tcPr>
            <w:tcW w:w="1461" w:type="dxa"/>
          </w:tcPr>
          <w:p w14:paraId="7A89258C" w14:textId="77777777" w:rsidR="001130C6" w:rsidRPr="00104AC7" w:rsidRDefault="001130C6" w:rsidP="0072192F">
            <w:pPr>
              <w:pStyle w:val="Tables"/>
              <w:jc w:val="right"/>
              <w:rPr>
                <w:rFonts w:asciiTheme="minorHAnsi" w:hAnsiTheme="minorHAnsi"/>
                <w:color w:val="000000" w:themeColor="text1"/>
                <w:sz w:val="18"/>
                <w:szCs w:val="18"/>
              </w:rPr>
            </w:pPr>
            <w:r w:rsidRPr="00104AC7">
              <w:rPr>
                <w:rFonts w:asciiTheme="minorHAnsi" w:hAnsiTheme="minorHAnsi"/>
                <w:color w:val="000000" w:themeColor="text1"/>
                <w:sz w:val="18"/>
                <w:szCs w:val="18"/>
              </w:rPr>
              <w:t>28</w:t>
            </w:r>
          </w:p>
        </w:tc>
        <w:tc>
          <w:tcPr>
            <w:tcW w:w="1403" w:type="dxa"/>
          </w:tcPr>
          <w:p w14:paraId="7A726A2F" w14:textId="77777777" w:rsidR="001130C6" w:rsidRPr="00104AC7" w:rsidRDefault="001130C6" w:rsidP="0072192F">
            <w:pPr>
              <w:pStyle w:val="Tables"/>
              <w:jc w:val="right"/>
              <w:rPr>
                <w:rFonts w:asciiTheme="minorHAnsi" w:hAnsiTheme="minorHAnsi"/>
                <w:color w:val="000000" w:themeColor="text1"/>
                <w:sz w:val="18"/>
                <w:szCs w:val="18"/>
              </w:rPr>
            </w:pPr>
            <w:r w:rsidRPr="00104AC7">
              <w:rPr>
                <w:rFonts w:asciiTheme="minorHAnsi" w:hAnsiTheme="minorHAnsi"/>
                <w:color w:val="000000" w:themeColor="text1"/>
                <w:sz w:val="18"/>
                <w:szCs w:val="18"/>
              </w:rPr>
              <w:t>24</w:t>
            </w:r>
          </w:p>
        </w:tc>
        <w:tc>
          <w:tcPr>
            <w:tcW w:w="1615" w:type="dxa"/>
          </w:tcPr>
          <w:p w14:paraId="126096DF" w14:textId="77777777" w:rsidR="001130C6" w:rsidRPr="00104AC7" w:rsidRDefault="001130C6" w:rsidP="0072192F">
            <w:pPr>
              <w:pStyle w:val="Tables"/>
              <w:jc w:val="right"/>
              <w:rPr>
                <w:rFonts w:asciiTheme="minorHAnsi" w:hAnsiTheme="minorHAnsi"/>
                <w:color w:val="000000" w:themeColor="text1"/>
                <w:sz w:val="18"/>
                <w:szCs w:val="18"/>
              </w:rPr>
            </w:pPr>
            <w:r w:rsidRPr="00104AC7">
              <w:rPr>
                <w:rFonts w:asciiTheme="minorHAnsi" w:hAnsiTheme="minorHAnsi"/>
                <w:color w:val="000000" w:themeColor="text1"/>
                <w:sz w:val="18"/>
                <w:szCs w:val="18"/>
              </w:rPr>
              <w:t>0.36 (0.32, 0.41)</w:t>
            </w:r>
          </w:p>
        </w:tc>
      </w:tr>
      <w:tr w:rsidR="001130C6" w:rsidRPr="00750C7A" w14:paraId="1E729DA3" w14:textId="77777777" w:rsidTr="001130C6">
        <w:tc>
          <w:tcPr>
            <w:tcW w:w="3114" w:type="dxa"/>
          </w:tcPr>
          <w:p w14:paraId="7A21B67E" w14:textId="77777777" w:rsidR="001130C6" w:rsidRPr="00750C7A" w:rsidRDefault="001130C6" w:rsidP="0072192F">
            <w:pPr>
              <w:pStyle w:val="Tables"/>
              <w:rPr>
                <w:rFonts w:asciiTheme="minorHAnsi" w:hAnsiTheme="minorHAnsi"/>
                <w:sz w:val="18"/>
                <w:szCs w:val="18"/>
              </w:rPr>
            </w:pPr>
            <w:r w:rsidRPr="00750C7A">
              <w:rPr>
                <w:rFonts w:asciiTheme="minorHAnsi" w:hAnsiTheme="minorHAnsi"/>
                <w:sz w:val="18"/>
                <w:szCs w:val="18"/>
              </w:rPr>
              <w:t>Right lower limb</w:t>
            </w:r>
          </w:p>
        </w:tc>
        <w:tc>
          <w:tcPr>
            <w:tcW w:w="1423" w:type="dxa"/>
          </w:tcPr>
          <w:p w14:paraId="7A62F9D4" w14:textId="77777777" w:rsidR="001130C6" w:rsidRPr="00104AC7" w:rsidRDefault="001130C6" w:rsidP="0072192F">
            <w:pPr>
              <w:pStyle w:val="Tables"/>
              <w:jc w:val="right"/>
              <w:rPr>
                <w:rFonts w:asciiTheme="minorHAnsi" w:hAnsiTheme="minorHAnsi"/>
                <w:color w:val="000000" w:themeColor="text1"/>
                <w:sz w:val="18"/>
                <w:szCs w:val="18"/>
              </w:rPr>
            </w:pPr>
            <w:r w:rsidRPr="00104AC7">
              <w:rPr>
                <w:rFonts w:asciiTheme="minorHAnsi" w:hAnsiTheme="minorHAnsi"/>
                <w:color w:val="000000" w:themeColor="text1"/>
                <w:sz w:val="18"/>
                <w:szCs w:val="18"/>
              </w:rPr>
              <w:t>22</w:t>
            </w:r>
          </w:p>
        </w:tc>
        <w:tc>
          <w:tcPr>
            <w:tcW w:w="1461" w:type="dxa"/>
          </w:tcPr>
          <w:p w14:paraId="4217362C" w14:textId="77777777" w:rsidR="001130C6" w:rsidRPr="00104AC7" w:rsidRDefault="001130C6" w:rsidP="0072192F">
            <w:pPr>
              <w:pStyle w:val="Tables"/>
              <w:jc w:val="right"/>
              <w:rPr>
                <w:rFonts w:asciiTheme="minorHAnsi" w:hAnsiTheme="minorHAnsi"/>
                <w:color w:val="000000" w:themeColor="text1"/>
                <w:sz w:val="18"/>
                <w:szCs w:val="18"/>
              </w:rPr>
            </w:pPr>
            <w:r w:rsidRPr="00104AC7">
              <w:rPr>
                <w:rFonts w:asciiTheme="minorHAnsi" w:hAnsiTheme="minorHAnsi"/>
                <w:color w:val="000000" w:themeColor="text1"/>
                <w:sz w:val="18"/>
                <w:szCs w:val="18"/>
              </w:rPr>
              <w:t>25</w:t>
            </w:r>
          </w:p>
        </w:tc>
        <w:tc>
          <w:tcPr>
            <w:tcW w:w="1403" w:type="dxa"/>
          </w:tcPr>
          <w:p w14:paraId="0F860F14" w14:textId="77777777" w:rsidR="001130C6" w:rsidRPr="00104AC7" w:rsidRDefault="001130C6" w:rsidP="0072192F">
            <w:pPr>
              <w:pStyle w:val="Tables"/>
              <w:jc w:val="right"/>
              <w:rPr>
                <w:rFonts w:asciiTheme="minorHAnsi" w:hAnsiTheme="minorHAnsi"/>
                <w:color w:val="000000" w:themeColor="text1"/>
                <w:sz w:val="18"/>
                <w:szCs w:val="18"/>
              </w:rPr>
            </w:pPr>
            <w:r w:rsidRPr="00104AC7">
              <w:rPr>
                <w:rFonts w:asciiTheme="minorHAnsi" w:hAnsiTheme="minorHAnsi"/>
                <w:color w:val="000000" w:themeColor="text1"/>
                <w:sz w:val="18"/>
                <w:szCs w:val="18"/>
              </w:rPr>
              <w:t>28</w:t>
            </w:r>
          </w:p>
        </w:tc>
        <w:tc>
          <w:tcPr>
            <w:tcW w:w="1615" w:type="dxa"/>
          </w:tcPr>
          <w:p w14:paraId="24FD249F" w14:textId="77777777" w:rsidR="001130C6" w:rsidRPr="00104AC7" w:rsidRDefault="001130C6" w:rsidP="0072192F">
            <w:pPr>
              <w:pStyle w:val="Tables"/>
              <w:jc w:val="right"/>
              <w:rPr>
                <w:rFonts w:asciiTheme="minorHAnsi" w:hAnsiTheme="minorHAnsi"/>
                <w:color w:val="000000" w:themeColor="text1"/>
                <w:sz w:val="18"/>
                <w:szCs w:val="18"/>
              </w:rPr>
            </w:pPr>
            <w:r w:rsidRPr="00104AC7">
              <w:rPr>
                <w:rFonts w:asciiTheme="minorHAnsi" w:hAnsiTheme="minorHAnsi"/>
                <w:color w:val="000000" w:themeColor="text1"/>
                <w:sz w:val="18"/>
                <w:szCs w:val="18"/>
              </w:rPr>
              <w:t>0.49 (0.43, 0.55)</w:t>
            </w:r>
          </w:p>
        </w:tc>
      </w:tr>
      <w:tr w:rsidR="001130C6" w:rsidRPr="00750C7A" w14:paraId="686EC625" w14:textId="77777777" w:rsidTr="001130C6">
        <w:tc>
          <w:tcPr>
            <w:tcW w:w="3114" w:type="dxa"/>
          </w:tcPr>
          <w:p w14:paraId="2E1640B2" w14:textId="77777777" w:rsidR="001130C6" w:rsidRPr="00750C7A" w:rsidRDefault="001130C6" w:rsidP="0072192F">
            <w:pPr>
              <w:pStyle w:val="Tables"/>
              <w:rPr>
                <w:rFonts w:asciiTheme="minorHAnsi" w:hAnsiTheme="minorHAnsi"/>
                <w:b/>
                <w:sz w:val="18"/>
                <w:szCs w:val="18"/>
              </w:rPr>
            </w:pPr>
            <w:r w:rsidRPr="00750C7A">
              <w:rPr>
                <w:rFonts w:asciiTheme="minorHAnsi" w:hAnsiTheme="minorHAnsi"/>
                <w:b/>
                <w:sz w:val="18"/>
                <w:szCs w:val="18"/>
              </w:rPr>
              <w:t>Functions (</w:t>
            </w:r>
            <w:r>
              <w:rPr>
                <w:rFonts w:asciiTheme="minorHAnsi" w:hAnsiTheme="minorHAnsi"/>
                <w:b/>
                <w:sz w:val="18"/>
                <w:szCs w:val="18"/>
              </w:rPr>
              <w:t>S-</w:t>
            </w:r>
            <w:proofErr w:type="spellStart"/>
            <w:r>
              <w:rPr>
                <w:rFonts w:asciiTheme="minorHAnsi" w:hAnsiTheme="minorHAnsi"/>
                <w:b/>
                <w:sz w:val="18"/>
                <w:szCs w:val="18"/>
              </w:rPr>
              <w:t>FMDRS</w:t>
            </w:r>
            <w:proofErr w:type="spellEnd"/>
            <w:r w:rsidRPr="00750C7A">
              <w:rPr>
                <w:rFonts w:asciiTheme="minorHAnsi" w:hAnsiTheme="minorHAnsi"/>
                <w:b/>
                <w:sz w:val="18"/>
                <w:szCs w:val="18"/>
              </w:rPr>
              <w:t>)</w:t>
            </w:r>
          </w:p>
        </w:tc>
        <w:tc>
          <w:tcPr>
            <w:tcW w:w="1423" w:type="dxa"/>
          </w:tcPr>
          <w:p w14:paraId="26BCB545" w14:textId="77777777" w:rsidR="001130C6" w:rsidRPr="00104AC7" w:rsidRDefault="001130C6" w:rsidP="0072192F">
            <w:pPr>
              <w:pStyle w:val="Tables"/>
              <w:jc w:val="right"/>
              <w:rPr>
                <w:rFonts w:asciiTheme="minorHAnsi" w:hAnsiTheme="minorHAnsi"/>
                <w:color w:val="000000" w:themeColor="text1"/>
                <w:sz w:val="18"/>
                <w:szCs w:val="18"/>
              </w:rPr>
            </w:pPr>
          </w:p>
        </w:tc>
        <w:tc>
          <w:tcPr>
            <w:tcW w:w="1461" w:type="dxa"/>
          </w:tcPr>
          <w:p w14:paraId="3082F248" w14:textId="77777777" w:rsidR="001130C6" w:rsidRPr="00104AC7" w:rsidRDefault="001130C6" w:rsidP="0072192F">
            <w:pPr>
              <w:pStyle w:val="Tables"/>
              <w:jc w:val="right"/>
              <w:rPr>
                <w:rFonts w:asciiTheme="minorHAnsi" w:hAnsiTheme="minorHAnsi"/>
                <w:color w:val="000000" w:themeColor="text1"/>
                <w:sz w:val="18"/>
                <w:szCs w:val="18"/>
              </w:rPr>
            </w:pPr>
          </w:p>
        </w:tc>
        <w:tc>
          <w:tcPr>
            <w:tcW w:w="1403" w:type="dxa"/>
          </w:tcPr>
          <w:p w14:paraId="2A95824F" w14:textId="77777777" w:rsidR="001130C6" w:rsidRPr="00104AC7" w:rsidRDefault="001130C6" w:rsidP="0072192F">
            <w:pPr>
              <w:pStyle w:val="Tables"/>
              <w:jc w:val="right"/>
              <w:rPr>
                <w:rFonts w:asciiTheme="minorHAnsi" w:hAnsiTheme="minorHAnsi"/>
                <w:color w:val="000000" w:themeColor="text1"/>
                <w:sz w:val="18"/>
                <w:szCs w:val="18"/>
              </w:rPr>
            </w:pPr>
          </w:p>
        </w:tc>
        <w:tc>
          <w:tcPr>
            <w:tcW w:w="1615" w:type="dxa"/>
          </w:tcPr>
          <w:p w14:paraId="44B4D57C" w14:textId="77777777" w:rsidR="001130C6" w:rsidRPr="00104AC7" w:rsidRDefault="001130C6" w:rsidP="0072192F">
            <w:pPr>
              <w:pStyle w:val="Tables"/>
              <w:jc w:val="right"/>
              <w:rPr>
                <w:rFonts w:asciiTheme="minorHAnsi" w:hAnsiTheme="minorHAnsi"/>
                <w:color w:val="000000" w:themeColor="text1"/>
                <w:sz w:val="18"/>
                <w:szCs w:val="18"/>
              </w:rPr>
            </w:pPr>
          </w:p>
        </w:tc>
      </w:tr>
      <w:tr w:rsidR="001130C6" w:rsidRPr="00750C7A" w14:paraId="4F3F8189" w14:textId="77777777" w:rsidTr="001130C6">
        <w:tc>
          <w:tcPr>
            <w:tcW w:w="3114" w:type="dxa"/>
          </w:tcPr>
          <w:p w14:paraId="7CB459F2" w14:textId="77777777" w:rsidR="001130C6" w:rsidRPr="00750C7A" w:rsidRDefault="001130C6" w:rsidP="0072192F">
            <w:pPr>
              <w:pStyle w:val="Tables"/>
              <w:rPr>
                <w:rFonts w:asciiTheme="minorHAnsi" w:hAnsiTheme="minorHAnsi"/>
                <w:sz w:val="18"/>
                <w:szCs w:val="18"/>
              </w:rPr>
            </w:pPr>
            <w:r w:rsidRPr="00750C7A">
              <w:rPr>
                <w:rFonts w:asciiTheme="minorHAnsi" w:hAnsiTheme="minorHAnsi"/>
                <w:sz w:val="18"/>
                <w:szCs w:val="18"/>
              </w:rPr>
              <w:t>Gait</w:t>
            </w:r>
          </w:p>
        </w:tc>
        <w:tc>
          <w:tcPr>
            <w:tcW w:w="1423" w:type="dxa"/>
          </w:tcPr>
          <w:p w14:paraId="2DEB9752" w14:textId="77777777" w:rsidR="001130C6" w:rsidRPr="00104AC7" w:rsidRDefault="001130C6" w:rsidP="0072192F">
            <w:pPr>
              <w:pStyle w:val="Tables"/>
              <w:jc w:val="right"/>
              <w:rPr>
                <w:rFonts w:asciiTheme="minorHAnsi" w:hAnsiTheme="minorHAnsi"/>
                <w:color w:val="000000" w:themeColor="text1"/>
                <w:sz w:val="18"/>
                <w:szCs w:val="18"/>
              </w:rPr>
            </w:pPr>
            <w:r w:rsidRPr="00104AC7">
              <w:rPr>
                <w:rFonts w:asciiTheme="minorHAnsi" w:hAnsiTheme="minorHAnsi"/>
                <w:color w:val="000000" w:themeColor="text1"/>
                <w:sz w:val="18"/>
                <w:szCs w:val="18"/>
              </w:rPr>
              <w:t>41</w:t>
            </w:r>
          </w:p>
        </w:tc>
        <w:tc>
          <w:tcPr>
            <w:tcW w:w="1461" w:type="dxa"/>
          </w:tcPr>
          <w:p w14:paraId="4218E8C0" w14:textId="77777777" w:rsidR="001130C6" w:rsidRPr="00104AC7" w:rsidRDefault="001130C6" w:rsidP="0072192F">
            <w:pPr>
              <w:pStyle w:val="Tables"/>
              <w:jc w:val="right"/>
              <w:rPr>
                <w:rFonts w:asciiTheme="minorHAnsi" w:hAnsiTheme="minorHAnsi"/>
                <w:color w:val="000000" w:themeColor="text1"/>
                <w:sz w:val="18"/>
                <w:szCs w:val="18"/>
              </w:rPr>
            </w:pPr>
            <w:r w:rsidRPr="00104AC7">
              <w:rPr>
                <w:rFonts w:asciiTheme="minorHAnsi" w:hAnsiTheme="minorHAnsi"/>
                <w:color w:val="000000" w:themeColor="text1"/>
                <w:sz w:val="18"/>
                <w:szCs w:val="18"/>
              </w:rPr>
              <w:t>37</w:t>
            </w:r>
          </w:p>
        </w:tc>
        <w:tc>
          <w:tcPr>
            <w:tcW w:w="1403" w:type="dxa"/>
          </w:tcPr>
          <w:p w14:paraId="50A5DDEC" w14:textId="77777777" w:rsidR="001130C6" w:rsidRPr="00104AC7" w:rsidRDefault="001130C6" w:rsidP="0072192F">
            <w:pPr>
              <w:pStyle w:val="Tables"/>
              <w:jc w:val="right"/>
              <w:rPr>
                <w:rFonts w:asciiTheme="minorHAnsi" w:hAnsiTheme="minorHAnsi"/>
                <w:color w:val="000000" w:themeColor="text1"/>
                <w:sz w:val="18"/>
                <w:szCs w:val="18"/>
              </w:rPr>
            </w:pPr>
            <w:r w:rsidRPr="00104AC7">
              <w:rPr>
                <w:rFonts w:asciiTheme="minorHAnsi" w:hAnsiTheme="minorHAnsi"/>
                <w:color w:val="000000" w:themeColor="text1"/>
                <w:sz w:val="18"/>
                <w:szCs w:val="18"/>
              </w:rPr>
              <w:t>43</w:t>
            </w:r>
          </w:p>
        </w:tc>
        <w:tc>
          <w:tcPr>
            <w:tcW w:w="1615" w:type="dxa"/>
          </w:tcPr>
          <w:p w14:paraId="063F8E37" w14:textId="77777777" w:rsidR="001130C6" w:rsidRPr="00104AC7" w:rsidRDefault="001130C6" w:rsidP="0072192F">
            <w:pPr>
              <w:pStyle w:val="Tables"/>
              <w:jc w:val="right"/>
              <w:rPr>
                <w:rFonts w:asciiTheme="minorHAnsi" w:hAnsiTheme="minorHAnsi"/>
                <w:color w:val="000000" w:themeColor="text1"/>
                <w:sz w:val="18"/>
                <w:szCs w:val="18"/>
              </w:rPr>
            </w:pPr>
            <w:r w:rsidRPr="00104AC7">
              <w:rPr>
                <w:rFonts w:asciiTheme="minorHAnsi" w:hAnsiTheme="minorHAnsi"/>
                <w:color w:val="000000" w:themeColor="text1"/>
                <w:sz w:val="18"/>
                <w:szCs w:val="18"/>
              </w:rPr>
              <w:t>0.70 (0.62, 0.78)</w:t>
            </w:r>
          </w:p>
        </w:tc>
      </w:tr>
      <w:tr w:rsidR="001130C6" w:rsidRPr="00750C7A" w14:paraId="2778068C" w14:textId="77777777" w:rsidTr="001130C6">
        <w:tc>
          <w:tcPr>
            <w:tcW w:w="3114" w:type="dxa"/>
          </w:tcPr>
          <w:p w14:paraId="52594F64" w14:textId="77777777" w:rsidR="001130C6" w:rsidRPr="00750C7A" w:rsidRDefault="001130C6" w:rsidP="0072192F">
            <w:pPr>
              <w:pStyle w:val="Tables"/>
              <w:rPr>
                <w:rFonts w:asciiTheme="minorHAnsi" w:hAnsiTheme="minorHAnsi"/>
                <w:sz w:val="18"/>
                <w:szCs w:val="18"/>
              </w:rPr>
            </w:pPr>
            <w:r w:rsidRPr="00750C7A">
              <w:rPr>
                <w:rFonts w:asciiTheme="minorHAnsi" w:hAnsiTheme="minorHAnsi"/>
                <w:sz w:val="18"/>
                <w:szCs w:val="18"/>
              </w:rPr>
              <w:t>Speech</w:t>
            </w:r>
          </w:p>
        </w:tc>
        <w:tc>
          <w:tcPr>
            <w:tcW w:w="1423" w:type="dxa"/>
          </w:tcPr>
          <w:p w14:paraId="47479B60" w14:textId="77777777" w:rsidR="001130C6" w:rsidRPr="00104AC7" w:rsidRDefault="001130C6" w:rsidP="0072192F">
            <w:pPr>
              <w:pStyle w:val="Tables"/>
              <w:jc w:val="right"/>
              <w:rPr>
                <w:rFonts w:asciiTheme="minorHAnsi" w:hAnsiTheme="minorHAnsi"/>
                <w:color w:val="000000" w:themeColor="text1"/>
                <w:sz w:val="18"/>
                <w:szCs w:val="18"/>
              </w:rPr>
            </w:pPr>
            <w:r w:rsidRPr="00104AC7">
              <w:rPr>
                <w:rFonts w:asciiTheme="minorHAnsi" w:hAnsiTheme="minorHAnsi"/>
                <w:color w:val="000000" w:themeColor="text1"/>
                <w:sz w:val="18"/>
                <w:szCs w:val="18"/>
              </w:rPr>
              <w:t>8</w:t>
            </w:r>
          </w:p>
        </w:tc>
        <w:tc>
          <w:tcPr>
            <w:tcW w:w="1461" w:type="dxa"/>
          </w:tcPr>
          <w:p w14:paraId="212088DE" w14:textId="77777777" w:rsidR="001130C6" w:rsidRPr="00104AC7" w:rsidRDefault="001130C6" w:rsidP="0072192F">
            <w:pPr>
              <w:pStyle w:val="Tables"/>
              <w:jc w:val="right"/>
              <w:rPr>
                <w:rFonts w:asciiTheme="minorHAnsi" w:hAnsiTheme="minorHAnsi"/>
                <w:color w:val="000000" w:themeColor="text1"/>
                <w:sz w:val="18"/>
                <w:szCs w:val="18"/>
              </w:rPr>
            </w:pPr>
            <w:r w:rsidRPr="00104AC7">
              <w:rPr>
                <w:rFonts w:asciiTheme="minorHAnsi" w:hAnsiTheme="minorHAnsi"/>
                <w:color w:val="000000" w:themeColor="text1"/>
                <w:sz w:val="18"/>
                <w:szCs w:val="18"/>
              </w:rPr>
              <w:t>7</w:t>
            </w:r>
          </w:p>
        </w:tc>
        <w:tc>
          <w:tcPr>
            <w:tcW w:w="1403" w:type="dxa"/>
          </w:tcPr>
          <w:p w14:paraId="782F8210" w14:textId="77777777" w:rsidR="001130C6" w:rsidRPr="00104AC7" w:rsidRDefault="001130C6" w:rsidP="0072192F">
            <w:pPr>
              <w:pStyle w:val="Tables"/>
              <w:jc w:val="right"/>
              <w:rPr>
                <w:rFonts w:asciiTheme="minorHAnsi" w:hAnsiTheme="minorHAnsi"/>
                <w:color w:val="000000" w:themeColor="text1"/>
                <w:sz w:val="18"/>
                <w:szCs w:val="18"/>
              </w:rPr>
            </w:pPr>
            <w:r w:rsidRPr="00104AC7">
              <w:rPr>
                <w:rFonts w:asciiTheme="minorHAnsi" w:hAnsiTheme="minorHAnsi"/>
                <w:color w:val="000000" w:themeColor="text1"/>
                <w:sz w:val="18"/>
                <w:szCs w:val="18"/>
              </w:rPr>
              <w:t>11</w:t>
            </w:r>
          </w:p>
        </w:tc>
        <w:tc>
          <w:tcPr>
            <w:tcW w:w="1615" w:type="dxa"/>
          </w:tcPr>
          <w:p w14:paraId="519DA2B6" w14:textId="77777777" w:rsidR="001130C6" w:rsidRPr="00104AC7" w:rsidRDefault="001130C6" w:rsidP="0072192F">
            <w:pPr>
              <w:pStyle w:val="Tables"/>
              <w:jc w:val="right"/>
              <w:rPr>
                <w:rFonts w:asciiTheme="minorHAnsi" w:hAnsiTheme="minorHAnsi"/>
                <w:color w:val="000000" w:themeColor="text1"/>
                <w:sz w:val="18"/>
                <w:szCs w:val="18"/>
              </w:rPr>
            </w:pPr>
            <w:r>
              <w:rPr>
                <w:rFonts w:asciiTheme="minorHAnsi" w:hAnsiTheme="minorHAnsi"/>
                <w:color w:val="000000" w:themeColor="text1"/>
                <w:sz w:val="18"/>
                <w:szCs w:val="18"/>
              </w:rPr>
              <w:t>0.66 (0.57, 0.76</w:t>
            </w:r>
            <w:r w:rsidRPr="00104AC7">
              <w:rPr>
                <w:rFonts w:asciiTheme="minorHAnsi" w:hAnsiTheme="minorHAnsi"/>
                <w:color w:val="000000" w:themeColor="text1"/>
                <w:sz w:val="18"/>
                <w:szCs w:val="18"/>
              </w:rPr>
              <w:t>)</w:t>
            </w:r>
          </w:p>
        </w:tc>
      </w:tr>
    </w:tbl>
    <w:p w14:paraId="4701B28E" w14:textId="568EFD1D" w:rsidR="00923576" w:rsidRPr="001130C6" w:rsidRDefault="001130C6" w:rsidP="001130C6">
      <w:pPr>
        <w:pStyle w:val="Tables"/>
        <w:rPr>
          <w:sz w:val="20"/>
          <w:szCs w:val="20"/>
        </w:rPr>
      </w:pPr>
      <w:r w:rsidRPr="008500CC">
        <w:rPr>
          <w:sz w:val="20"/>
          <w:szCs w:val="20"/>
        </w:rPr>
        <w:t xml:space="preserve">Abbreviations: </w:t>
      </w:r>
      <w:proofErr w:type="gramStart"/>
      <w:r w:rsidRPr="008500CC">
        <w:rPr>
          <w:sz w:val="20"/>
          <w:szCs w:val="20"/>
        </w:rPr>
        <w:t>ICC(</w:t>
      </w:r>
      <w:proofErr w:type="gramEnd"/>
      <w:r w:rsidRPr="008500CC">
        <w:rPr>
          <w:sz w:val="20"/>
          <w:szCs w:val="20"/>
          <w:vertAlign w:val="subscript"/>
        </w:rPr>
        <w:t>2,1</w:t>
      </w:r>
      <w:r w:rsidRPr="008500CC">
        <w:rPr>
          <w:sz w:val="20"/>
          <w:szCs w:val="20"/>
        </w:rPr>
        <w:t>)=</w:t>
      </w:r>
      <w:proofErr w:type="spellStart"/>
      <w:r w:rsidRPr="008500CC">
        <w:rPr>
          <w:sz w:val="20"/>
          <w:szCs w:val="20"/>
        </w:rPr>
        <w:t>Intraclass</w:t>
      </w:r>
      <w:proofErr w:type="spellEnd"/>
      <w:r w:rsidRPr="008500CC">
        <w:rPr>
          <w:sz w:val="20"/>
          <w:szCs w:val="20"/>
        </w:rPr>
        <w:t xml:space="preserve"> correlation coefficient; </w:t>
      </w:r>
      <w:proofErr w:type="spellStart"/>
      <w:r w:rsidRPr="008500CC">
        <w:rPr>
          <w:sz w:val="20"/>
          <w:szCs w:val="20"/>
        </w:rPr>
        <w:t>PMDRS</w:t>
      </w:r>
      <w:proofErr w:type="spellEnd"/>
      <w:r w:rsidRPr="008500CC">
        <w:rPr>
          <w:sz w:val="20"/>
          <w:szCs w:val="20"/>
        </w:rPr>
        <w:t>=Psychogenic Movement Disorders</w:t>
      </w:r>
      <w:r>
        <w:rPr>
          <w:sz w:val="20"/>
          <w:szCs w:val="20"/>
        </w:rPr>
        <w:t xml:space="preserve"> </w:t>
      </w:r>
      <w:r w:rsidRPr="008500CC">
        <w:rPr>
          <w:sz w:val="20"/>
          <w:szCs w:val="20"/>
        </w:rPr>
        <w:t>Rating Scale; S-</w:t>
      </w:r>
      <w:proofErr w:type="spellStart"/>
      <w:r w:rsidRPr="008500CC">
        <w:rPr>
          <w:sz w:val="20"/>
          <w:szCs w:val="20"/>
        </w:rPr>
        <w:t>FMDRS</w:t>
      </w:r>
      <w:proofErr w:type="spellEnd"/>
      <w:r w:rsidRPr="008500CC">
        <w:rPr>
          <w:sz w:val="20"/>
          <w:szCs w:val="20"/>
        </w:rPr>
        <w:t>=Simplified Functional Movement Disorders Rating Scale.</w:t>
      </w:r>
    </w:p>
    <w:sectPr w:rsidR="00923576" w:rsidRPr="001130C6" w:rsidSect="008500CC">
      <w:headerReference w:type="default" r:id="rId11"/>
      <w:footerReference w:type="default" r:id="rId12"/>
      <w:headerReference w:type="first" r:id="rId13"/>
      <w:footerReference w:type="first" r:id="rId14"/>
      <w:pgSz w:w="11906" w:h="16838"/>
      <w:pgMar w:top="1418" w:right="1440" w:bottom="1304" w:left="1440" w:header="709" w:footer="709" w:gutter="0"/>
      <w:lnNumType w:countBy="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26BE0" w14:textId="77777777" w:rsidR="002D7173" w:rsidRDefault="002D7173" w:rsidP="00172D4C">
      <w:pPr>
        <w:spacing w:after="0" w:line="240" w:lineRule="auto"/>
      </w:pPr>
      <w:r>
        <w:separator/>
      </w:r>
    </w:p>
  </w:endnote>
  <w:endnote w:type="continuationSeparator" w:id="0">
    <w:p w14:paraId="5F5CAF53" w14:textId="77777777" w:rsidR="002D7173" w:rsidRDefault="002D7173" w:rsidP="00172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508909"/>
      <w:docPartObj>
        <w:docPartGallery w:val="Page Numbers (Bottom of Page)"/>
        <w:docPartUnique/>
      </w:docPartObj>
    </w:sdtPr>
    <w:sdtEndPr>
      <w:rPr>
        <w:noProof/>
        <w:sz w:val="20"/>
        <w:szCs w:val="20"/>
      </w:rPr>
    </w:sdtEndPr>
    <w:sdtContent>
      <w:p w14:paraId="5B0FB65A" w14:textId="4271D7AE" w:rsidR="00361F34" w:rsidRPr="00C72536" w:rsidRDefault="00361F34" w:rsidP="008014F9">
        <w:pPr>
          <w:pStyle w:val="Footer"/>
          <w:jc w:val="right"/>
          <w:rPr>
            <w:sz w:val="20"/>
            <w:szCs w:val="20"/>
          </w:rPr>
        </w:pPr>
        <w:r w:rsidRPr="00C72536">
          <w:rPr>
            <w:sz w:val="20"/>
            <w:szCs w:val="20"/>
          </w:rPr>
          <w:fldChar w:fldCharType="begin"/>
        </w:r>
        <w:r w:rsidRPr="00C72536">
          <w:rPr>
            <w:sz w:val="20"/>
            <w:szCs w:val="20"/>
          </w:rPr>
          <w:instrText xml:space="preserve"> PAGE   \* MERGEFORMAT </w:instrText>
        </w:r>
        <w:r w:rsidRPr="00C72536">
          <w:rPr>
            <w:sz w:val="20"/>
            <w:szCs w:val="20"/>
          </w:rPr>
          <w:fldChar w:fldCharType="separate"/>
        </w:r>
        <w:r w:rsidR="003F3141">
          <w:rPr>
            <w:noProof/>
            <w:sz w:val="20"/>
            <w:szCs w:val="20"/>
          </w:rPr>
          <w:t>16</w:t>
        </w:r>
        <w:r w:rsidRPr="00C72536">
          <w:rPr>
            <w:noProof/>
            <w:sz w:val="20"/>
            <w:szCs w:val="20"/>
          </w:rPr>
          <w:fldChar w:fldCharType="end"/>
        </w:r>
      </w:p>
    </w:sdtContent>
  </w:sdt>
  <w:p w14:paraId="3BACB228" w14:textId="77777777" w:rsidR="00361F34" w:rsidRDefault="00361F34" w:rsidP="00172D4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B21F4" w14:textId="67B6029F" w:rsidR="00361F34" w:rsidRPr="00C72536" w:rsidRDefault="00361F34" w:rsidP="00C72536">
    <w:pPr>
      <w:pStyle w:val="Footer"/>
      <w:jc w:val="right"/>
      <w:rPr>
        <w:sz w:val="20"/>
        <w:szCs w:val="20"/>
      </w:rPr>
    </w:pPr>
    <w:r w:rsidRPr="00C72536">
      <w:rPr>
        <w:rStyle w:val="PageNumber"/>
        <w:sz w:val="20"/>
        <w:szCs w:val="20"/>
      </w:rPr>
      <w:fldChar w:fldCharType="begin"/>
    </w:r>
    <w:r w:rsidRPr="00C72536">
      <w:rPr>
        <w:rStyle w:val="PageNumber"/>
        <w:sz w:val="20"/>
        <w:szCs w:val="20"/>
      </w:rPr>
      <w:instrText xml:space="preserve"> PAGE </w:instrText>
    </w:r>
    <w:r w:rsidRPr="00C72536">
      <w:rPr>
        <w:rStyle w:val="PageNumber"/>
        <w:sz w:val="20"/>
        <w:szCs w:val="20"/>
      </w:rPr>
      <w:fldChar w:fldCharType="separate"/>
    </w:r>
    <w:r w:rsidR="001130C6">
      <w:rPr>
        <w:rStyle w:val="PageNumber"/>
        <w:noProof/>
        <w:sz w:val="20"/>
        <w:szCs w:val="20"/>
      </w:rPr>
      <w:t>1</w:t>
    </w:r>
    <w:r w:rsidRPr="00C72536">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CA34E" w14:textId="77777777" w:rsidR="002D7173" w:rsidRDefault="002D7173" w:rsidP="00172D4C">
      <w:pPr>
        <w:spacing w:after="0" w:line="240" w:lineRule="auto"/>
      </w:pPr>
      <w:r>
        <w:separator/>
      </w:r>
    </w:p>
  </w:footnote>
  <w:footnote w:type="continuationSeparator" w:id="0">
    <w:p w14:paraId="3FF8FFE7" w14:textId="77777777" w:rsidR="002D7173" w:rsidRDefault="002D7173" w:rsidP="00172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BBA04" w14:textId="2DD8ECF7" w:rsidR="00361F34" w:rsidRPr="008014F9" w:rsidRDefault="00361F34" w:rsidP="00172D4C">
    <w:pPr>
      <w:pStyle w:val="Header"/>
      <w:jc w:val="right"/>
      <w:rPr>
        <w:color w:val="808080" w:themeColor="background1" w:themeShade="80"/>
        <w:sz w:val="20"/>
        <w:szCs w:val="20"/>
      </w:rPr>
    </w:pPr>
    <w:r w:rsidRPr="008014F9">
      <w:rPr>
        <w:color w:val="808080" w:themeColor="background1" w:themeShade="80"/>
        <w:sz w:val="20"/>
        <w:szCs w:val="20"/>
      </w:rPr>
      <w:t xml:space="preserve">Simplified </w:t>
    </w:r>
    <w:r>
      <w:rPr>
        <w:color w:val="808080" w:themeColor="background1" w:themeShade="80"/>
        <w:sz w:val="20"/>
        <w:szCs w:val="20"/>
      </w:rPr>
      <w:t>F</w:t>
    </w:r>
    <w:r w:rsidRPr="008014F9">
      <w:rPr>
        <w:color w:val="808080" w:themeColor="background1" w:themeShade="80"/>
        <w:sz w:val="20"/>
        <w:szCs w:val="20"/>
      </w:rPr>
      <w:t>MDRS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A94D1" w14:textId="77777777" w:rsidR="00361F34" w:rsidRPr="008014F9" w:rsidRDefault="00361F34" w:rsidP="00C72536">
    <w:pPr>
      <w:pStyle w:val="Header"/>
      <w:jc w:val="right"/>
      <w:rPr>
        <w:color w:val="808080" w:themeColor="background1" w:themeShade="80"/>
        <w:sz w:val="20"/>
        <w:szCs w:val="20"/>
      </w:rPr>
    </w:pPr>
    <w:r w:rsidRPr="008014F9">
      <w:rPr>
        <w:color w:val="808080" w:themeColor="background1" w:themeShade="80"/>
        <w:sz w:val="20"/>
        <w:szCs w:val="20"/>
      </w:rPr>
      <w:t xml:space="preserve">Simplified </w:t>
    </w:r>
    <w:r>
      <w:rPr>
        <w:color w:val="808080" w:themeColor="background1" w:themeShade="80"/>
        <w:sz w:val="20"/>
        <w:szCs w:val="20"/>
      </w:rPr>
      <w:t>F</w:t>
    </w:r>
    <w:r w:rsidRPr="008014F9">
      <w:rPr>
        <w:color w:val="808080" w:themeColor="background1" w:themeShade="80"/>
        <w:sz w:val="20"/>
        <w:szCs w:val="20"/>
      </w:rPr>
      <w:t>MDRS</w:t>
    </w:r>
  </w:p>
  <w:p w14:paraId="4C1B20CB" w14:textId="77777777" w:rsidR="00361F34" w:rsidRDefault="00361F34" w:rsidP="00C725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F1DEA"/>
    <w:multiLevelType w:val="hybridMultilevel"/>
    <w:tmpl w:val="7CD447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E4B5C49"/>
    <w:multiLevelType w:val="hybridMultilevel"/>
    <w:tmpl w:val="454CEAA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46143A"/>
    <w:multiLevelType w:val="hybridMultilevel"/>
    <w:tmpl w:val="729EA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20BDE"/>
    <w:multiLevelType w:val="hybridMultilevel"/>
    <w:tmpl w:val="C6D44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5333FB"/>
    <w:multiLevelType w:val="hybridMultilevel"/>
    <w:tmpl w:val="CAA22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025A68"/>
    <w:multiLevelType w:val="hybridMultilevel"/>
    <w:tmpl w:val="407678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1F575F"/>
    <w:multiLevelType w:val="hybridMultilevel"/>
    <w:tmpl w:val="DDB64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AA"/>
    <w:rsid w:val="00000C5C"/>
    <w:rsid w:val="00017007"/>
    <w:rsid w:val="00017F38"/>
    <w:rsid w:val="00044A49"/>
    <w:rsid w:val="000616EF"/>
    <w:rsid w:val="000910DE"/>
    <w:rsid w:val="00091BA8"/>
    <w:rsid w:val="000A619F"/>
    <w:rsid w:val="000B5A74"/>
    <w:rsid w:val="000D5836"/>
    <w:rsid w:val="000F0F5B"/>
    <w:rsid w:val="00105759"/>
    <w:rsid w:val="0010754E"/>
    <w:rsid w:val="00110421"/>
    <w:rsid w:val="001130C6"/>
    <w:rsid w:val="00142C36"/>
    <w:rsid w:val="00147319"/>
    <w:rsid w:val="00150711"/>
    <w:rsid w:val="00162661"/>
    <w:rsid w:val="001629C8"/>
    <w:rsid w:val="00172D4C"/>
    <w:rsid w:val="0018505B"/>
    <w:rsid w:val="0019025A"/>
    <w:rsid w:val="001941AC"/>
    <w:rsid w:val="001A038E"/>
    <w:rsid w:val="001A0DAD"/>
    <w:rsid w:val="001B4F2F"/>
    <w:rsid w:val="001D44B4"/>
    <w:rsid w:val="001E5F61"/>
    <w:rsid w:val="00203C6F"/>
    <w:rsid w:val="00205AD0"/>
    <w:rsid w:val="00210086"/>
    <w:rsid w:val="00210645"/>
    <w:rsid w:val="00217BDB"/>
    <w:rsid w:val="00224086"/>
    <w:rsid w:val="00254430"/>
    <w:rsid w:val="0026279D"/>
    <w:rsid w:val="00264998"/>
    <w:rsid w:val="00271858"/>
    <w:rsid w:val="002737F7"/>
    <w:rsid w:val="00273CD6"/>
    <w:rsid w:val="002768C6"/>
    <w:rsid w:val="002D2F4B"/>
    <w:rsid w:val="002D7173"/>
    <w:rsid w:val="00315D62"/>
    <w:rsid w:val="00321BD1"/>
    <w:rsid w:val="003254EA"/>
    <w:rsid w:val="003543A2"/>
    <w:rsid w:val="00361F34"/>
    <w:rsid w:val="00385197"/>
    <w:rsid w:val="00397436"/>
    <w:rsid w:val="00397B7D"/>
    <w:rsid w:val="003A5056"/>
    <w:rsid w:val="003B0340"/>
    <w:rsid w:val="003D1889"/>
    <w:rsid w:val="003E4BA1"/>
    <w:rsid w:val="003E7267"/>
    <w:rsid w:val="003F3141"/>
    <w:rsid w:val="004013C0"/>
    <w:rsid w:val="00423E9C"/>
    <w:rsid w:val="004247B5"/>
    <w:rsid w:val="0043749E"/>
    <w:rsid w:val="00446C5A"/>
    <w:rsid w:val="00460503"/>
    <w:rsid w:val="004619BC"/>
    <w:rsid w:val="00470FE2"/>
    <w:rsid w:val="00473993"/>
    <w:rsid w:val="0048063E"/>
    <w:rsid w:val="00494ED2"/>
    <w:rsid w:val="004A277A"/>
    <w:rsid w:val="004A4DC5"/>
    <w:rsid w:val="004B01B4"/>
    <w:rsid w:val="004C435E"/>
    <w:rsid w:val="004D0211"/>
    <w:rsid w:val="004D5CC0"/>
    <w:rsid w:val="004F138C"/>
    <w:rsid w:val="005121CF"/>
    <w:rsid w:val="005267C7"/>
    <w:rsid w:val="005569C2"/>
    <w:rsid w:val="005640DD"/>
    <w:rsid w:val="00573703"/>
    <w:rsid w:val="00580526"/>
    <w:rsid w:val="00581AF8"/>
    <w:rsid w:val="00585B55"/>
    <w:rsid w:val="005A14D8"/>
    <w:rsid w:val="005A1EF7"/>
    <w:rsid w:val="005C3B85"/>
    <w:rsid w:val="005E62AA"/>
    <w:rsid w:val="005F5949"/>
    <w:rsid w:val="00621715"/>
    <w:rsid w:val="006460DA"/>
    <w:rsid w:val="0065130B"/>
    <w:rsid w:val="00657458"/>
    <w:rsid w:val="006862D7"/>
    <w:rsid w:val="006C5324"/>
    <w:rsid w:val="006C7076"/>
    <w:rsid w:val="006D1B51"/>
    <w:rsid w:val="006D79F3"/>
    <w:rsid w:val="006F388E"/>
    <w:rsid w:val="006F7977"/>
    <w:rsid w:val="00703DDE"/>
    <w:rsid w:val="00705E4B"/>
    <w:rsid w:val="00707CF7"/>
    <w:rsid w:val="00710096"/>
    <w:rsid w:val="00723E39"/>
    <w:rsid w:val="00724508"/>
    <w:rsid w:val="00750C7A"/>
    <w:rsid w:val="00753710"/>
    <w:rsid w:val="00753D3F"/>
    <w:rsid w:val="007559A9"/>
    <w:rsid w:val="007601D4"/>
    <w:rsid w:val="00772394"/>
    <w:rsid w:val="00772D89"/>
    <w:rsid w:val="007B2EAE"/>
    <w:rsid w:val="007B33EA"/>
    <w:rsid w:val="007C1A52"/>
    <w:rsid w:val="007C6B3B"/>
    <w:rsid w:val="007D2188"/>
    <w:rsid w:val="007E07E6"/>
    <w:rsid w:val="007F5848"/>
    <w:rsid w:val="007F688A"/>
    <w:rsid w:val="007F7FBF"/>
    <w:rsid w:val="008014F9"/>
    <w:rsid w:val="0080237E"/>
    <w:rsid w:val="00802A23"/>
    <w:rsid w:val="008110E6"/>
    <w:rsid w:val="00825D05"/>
    <w:rsid w:val="00831208"/>
    <w:rsid w:val="008413F0"/>
    <w:rsid w:val="008500CC"/>
    <w:rsid w:val="00853F5A"/>
    <w:rsid w:val="00862361"/>
    <w:rsid w:val="00875BA9"/>
    <w:rsid w:val="00883E0F"/>
    <w:rsid w:val="0088459B"/>
    <w:rsid w:val="00886196"/>
    <w:rsid w:val="008A6E70"/>
    <w:rsid w:val="008C027B"/>
    <w:rsid w:val="008D7485"/>
    <w:rsid w:val="008E1CAA"/>
    <w:rsid w:val="008E724D"/>
    <w:rsid w:val="008F5CC1"/>
    <w:rsid w:val="00903F59"/>
    <w:rsid w:val="00907FB5"/>
    <w:rsid w:val="009179E1"/>
    <w:rsid w:val="00923576"/>
    <w:rsid w:val="00941AD2"/>
    <w:rsid w:val="009475DE"/>
    <w:rsid w:val="00977C5C"/>
    <w:rsid w:val="00983AFD"/>
    <w:rsid w:val="009A0516"/>
    <w:rsid w:val="009A2661"/>
    <w:rsid w:val="009C37D5"/>
    <w:rsid w:val="009C7779"/>
    <w:rsid w:val="009D3C2D"/>
    <w:rsid w:val="00A05643"/>
    <w:rsid w:val="00A16405"/>
    <w:rsid w:val="00A32056"/>
    <w:rsid w:val="00A343E5"/>
    <w:rsid w:val="00A47246"/>
    <w:rsid w:val="00A5183D"/>
    <w:rsid w:val="00A55D80"/>
    <w:rsid w:val="00A72B33"/>
    <w:rsid w:val="00A8619C"/>
    <w:rsid w:val="00A92E4D"/>
    <w:rsid w:val="00AB2F57"/>
    <w:rsid w:val="00AC23C6"/>
    <w:rsid w:val="00AC6282"/>
    <w:rsid w:val="00AE1E3E"/>
    <w:rsid w:val="00AE3AEE"/>
    <w:rsid w:val="00AE50B1"/>
    <w:rsid w:val="00AF4D33"/>
    <w:rsid w:val="00B008C3"/>
    <w:rsid w:val="00B20B3A"/>
    <w:rsid w:val="00B306B9"/>
    <w:rsid w:val="00B50F57"/>
    <w:rsid w:val="00B6061B"/>
    <w:rsid w:val="00B65F57"/>
    <w:rsid w:val="00B70442"/>
    <w:rsid w:val="00B753E7"/>
    <w:rsid w:val="00B76285"/>
    <w:rsid w:val="00B804B4"/>
    <w:rsid w:val="00B96F9F"/>
    <w:rsid w:val="00BA1D27"/>
    <w:rsid w:val="00BC61BB"/>
    <w:rsid w:val="00BD057B"/>
    <w:rsid w:val="00BD3901"/>
    <w:rsid w:val="00C00BC5"/>
    <w:rsid w:val="00C00DCD"/>
    <w:rsid w:val="00C022F3"/>
    <w:rsid w:val="00C22644"/>
    <w:rsid w:val="00C23341"/>
    <w:rsid w:val="00C265DF"/>
    <w:rsid w:val="00C303DA"/>
    <w:rsid w:val="00C30EA4"/>
    <w:rsid w:val="00C424DF"/>
    <w:rsid w:val="00C500CA"/>
    <w:rsid w:val="00C674CE"/>
    <w:rsid w:val="00C70A1A"/>
    <w:rsid w:val="00C72536"/>
    <w:rsid w:val="00C75AAA"/>
    <w:rsid w:val="00C94EA4"/>
    <w:rsid w:val="00C961A8"/>
    <w:rsid w:val="00C967C6"/>
    <w:rsid w:val="00CA6E1F"/>
    <w:rsid w:val="00CB1F1A"/>
    <w:rsid w:val="00CE2464"/>
    <w:rsid w:val="00CE470C"/>
    <w:rsid w:val="00CF50F9"/>
    <w:rsid w:val="00CF7BDA"/>
    <w:rsid w:val="00D40EC9"/>
    <w:rsid w:val="00D46384"/>
    <w:rsid w:val="00D472D4"/>
    <w:rsid w:val="00D51073"/>
    <w:rsid w:val="00D60446"/>
    <w:rsid w:val="00D65394"/>
    <w:rsid w:val="00D71049"/>
    <w:rsid w:val="00D762BD"/>
    <w:rsid w:val="00D958FA"/>
    <w:rsid w:val="00DA0E9D"/>
    <w:rsid w:val="00DB3E58"/>
    <w:rsid w:val="00DE1EF9"/>
    <w:rsid w:val="00DE5B10"/>
    <w:rsid w:val="00DF4C79"/>
    <w:rsid w:val="00E11326"/>
    <w:rsid w:val="00E3020A"/>
    <w:rsid w:val="00E45E11"/>
    <w:rsid w:val="00E72B20"/>
    <w:rsid w:val="00E80975"/>
    <w:rsid w:val="00E80FA7"/>
    <w:rsid w:val="00E9523F"/>
    <w:rsid w:val="00EA1F86"/>
    <w:rsid w:val="00EA5895"/>
    <w:rsid w:val="00ED076A"/>
    <w:rsid w:val="00ED09D3"/>
    <w:rsid w:val="00EE3F61"/>
    <w:rsid w:val="00EF30A1"/>
    <w:rsid w:val="00F24616"/>
    <w:rsid w:val="00F372C3"/>
    <w:rsid w:val="00F43645"/>
    <w:rsid w:val="00F51615"/>
    <w:rsid w:val="00F546C9"/>
    <w:rsid w:val="00F6101B"/>
    <w:rsid w:val="00F67FBF"/>
    <w:rsid w:val="00F754A1"/>
    <w:rsid w:val="00F82C4B"/>
    <w:rsid w:val="00F8344D"/>
    <w:rsid w:val="00FC2491"/>
    <w:rsid w:val="00FC4393"/>
    <w:rsid w:val="00FD3377"/>
    <w:rsid w:val="00FE50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62490B"/>
  <w15:docId w15:val="{8C2E1CA0-FD6E-4EA6-A4A7-3F511E73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E1F"/>
    <w:pPr>
      <w:spacing w:after="360" w:line="360" w:lineRule="auto"/>
    </w:pPr>
    <w:rPr>
      <w:rFonts w:ascii="Arial" w:hAnsi="Arial"/>
    </w:rPr>
  </w:style>
  <w:style w:type="paragraph" w:styleId="Heading1">
    <w:name w:val="heading 1"/>
    <w:basedOn w:val="Normal"/>
    <w:next w:val="Normal"/>
    <w:link w:val="Heading1Char"/>
    <w:uiPriority w:val="9"/>
    <w:qFormat/>
    <w:rsid w:val="008E1CAA"/>
    <w:pPr>
      <w:keepNext/>
      <w:keepLines/>
      <w:spacing w:before="360" w:after="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8E1CAA"/>
    <w:pPr>
      <w:keepNext/>
      <w:keepLines/>
      <w:spacing w:before="240" w:after="24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CAA"/>
    <w:rPr>
      <w:rFonts w:ascii="Arial" w:eastAsiaTheme="majorEastAsia" w:hAnsi="Arial" w:cstheme="majorBidi"/>
      <w:b/>
      <w:szCs w:val="32"/>
    </w:rPr>
  </w:style>
  <w:style w:type="character" w:customStyle="1" w:styleId="Heading2Char">
    <w:name w:val="Heading 2 Char"/>
    <w:basedOn w:val="DefaultParagraphFont"/>
    <w:link w:val="Heading2"/>
    <w:uiPriority w:val="9"/>
    <w:rsid w:val="008E1CAA"/>
    <w:rPr>
      <w:rFonts w:ascii="Arial" w:eastAsiaTheme="majorEastAsia" w:hAnsi="Arial" w:cstheme="majorBidi"/>
      <w:i/>
      <w:szCs w:val="26"/>
    </w:rPr>
  </w:style>
  <w:style w:type="paragraph" w:styleId="ListParagraph">
    <w:name w:val="List Paragraph"/>
    <w:basedOn w:val="Normal"/>
    <w:uiPriority w:val="34"/>
    <w:qFormat/>
    <w:rsid w:val="008E1CAA"/>
    <w:pPr>
      <w:ind w:left="720"/>
      <w:contextualSpacing/>
    </w:pPr>
  </w:style>
  <w:style w:type="table" w:styleId="TableGrid">
    <w:name w:val="Table Grid"/>
    <w:basedOn w:val="TableNormal"/>
    <w:uiPriority w:val="59"/>
    <w:rsid w:val="008E1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1CAA"/>
    <w:rPr>
      <w:color w:val="0563C1" w:themeColor="hyperlink"/>
      <w:u w:val="single"/>
    </w:rPr>
  </w:style>
  <w:style w:type="paragraph" w:customStyle="1" w:styleId="Tables">
    <w:name w:val="Tables"/>
    <w:basedOn w:val="Normal"/>
    <w:qFormat/>
    <w:rsid w:val="008E1CAA"/>
    <w:pPr>
      <w:spacing w:after="0" w:line="240" w:lineRule="auto"/>
    </w:pPr>
    <w:rPr>
      <w:rFonts w:eastAsiaTheme="minorEastAsia"/>
      <w:szCs w:val="24"/>
    </w:rPr>
  </w:style>
  <w:style w:type="character" w:styleId="CommentReference">
    <w:name w:val="annotation reference"/>
    <w:basedOn w:val="DefaultParagraphFont"/>
    <w:uiPriority w:val="99"/>
    <w:semiHidden/>
    <w:unhideWhenUsed/>
    <w:rsid w:val="008E1CAA"/>
    <w:rPr>
      <w:sz w:val="16"/>
      <w:szCs w:val="16"/>
    </w:rPr>
  </w:style>
  <w:style w:type="paragraph" w:styleId="CommentText">
    <w:name w:val="annotation text"/>
    <w:basedOn w:val="Normal"/>
    <w:link w:val="CommentTextChar"/>
    <w:uiPriority w:val="99"/>
    <w:semiHidden/>
    <w:unhideWhenUsed/>
    <w:rsid w:val="008E1CAA"/>
    <w:pPr>
      <w:spacing w:line="240" w:lineRule="auto"/>
    </w:pPr>
    <w:rPr>
      <w:sz w:val="20"/>
      <w:szCs w:val="20"/>
    </w:rPr>
  </w:style>
  <w:style w:type="character" w:customStyle="1" w:styleId="CommentTextChar">
    <w:name w:val="Comment Text Char"/>
    <w:basedOn w:val="DefaultParagraphFont"/>
    <w:link w:val="CommentText"/>
    <w:uiPriority w:val="99"/>
    <w:semiHidden/>
    <w:rsid w:val="008E1CAA"/>
    <w:rPr>
      <w:rFonts w:ascii="Arial" w:hAnsi="Arial"/>
      <w:sz w:val="20"/>
      <w:szCs w:val="20"/>
    </w:rPr>
  </w:style>
  <w:style w:type="paragraph" w:styleId="BalloonText">
    <w:name w:val="Balloon Text"/>
    <w:basedOn w:val="Normal"/>
    <w:link w:val="BalloonTextChar"/>
    <w:uiPriority w:val="99"/>
    <w:semiHidden/>
    <w:unhideWhenUsed/>
    <w:rsid w:val="008E1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CAA"/>
    <w:rPr>
      <w:rFonts w:ascii="Segoe UI" w:hAnsi="Segoe UI" w:cs="Segoe UI"/>
      <w:sz w:val="18"/>
      <w:szCs w:val="18"/>
    </w:rPr>
  </w:style>
  <w:style w:type="paragraph" w:styleId="Header">
    <w:name w:val="header"/>
    <w:basedOn w:val="Normal"/>
    <w:link w:val="HeaderChar"/>
    <w:uiPriority w:val="99"/>
    <w:unhideWhenUsed/>
    <w:rsid w:val="00172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D4C"/>
    <w:rPr>
      <w:rFonts w:ascii="Arial" w:hAnsi="Arial"/>
    </w:rPr>
  </w:style>
  <w:style w:type="paragraph" w:styleId="Footer">
    <w:name w:val="footer"/>
    <w:basedOn w:val="Normal"/>
    <w:link w:val="FooterChar"/>
    <w:uiPriority w:val="99"/>
    <w:unhideWhenUsed/>
    <w:rsid w:val="00172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D4C"/>
    <w:rPr>
      <w:rFonts w:ascii="Arial" w:hAnsi="Arial"/>
    </w:rPr>
  </w:style>
  <w:style w:type="character" w:styleId="HTMLCite">
    <w:name w:val="HTML Cite"/>
    <w:basedOn w:val="DefaultParagraphFont"/>
    <w:uiPriority w:val="99"/>
    <w:semiHidden/>
    <w:unhideWhenUsed/>
    <w:rsid w:val="00224086"/>
    <w:rPr>
      <w:i/>
      <w:iCs/>
    </w:rPr>
  </w:style>
  <w:style w:type="character" w:customStyle="1" w:styleId="cit-auth">
    <w:name w:val="cit-auth"/>
    <w:basedOn w:val="DefaultParagraphFont"/>
    <w:rsid w:val="00224086"/>
  </w:style>
  <w:style w:type="character" w:customStyle="1" w:styleId="cit-pub-date">
    <w:name w:val="cit-pub-date"/>
    <w:basedOn w:val="DefaultParagraphFont"/>
    <w:rsid w:val="00224086"/>
  </w:style>
  <w:style w:type="character" w:customStyle="1" w:styleId="cit-fpage">
    <w:name w:val="cit-fpage"/>
    <w:basedOn w:val="DefaultParagraphFont"/>
    <w:rsid w:val="00224086"/>
  </w:style>
  <w:style w:type="paragraph" w:styleId="CommentSubject">
    <w:name w:val="annotation subject"/>
    <w:basedOn w:val="CommentText"/>
    <w:next w:val="CommentText"/>
    <w:link w:val="CommentSubjectChar"/>
    <w:uiPriority w:val="99"/>
    <w:semiHidden/>
    <w:unhideWhenUsed/>
    <w:rsid w:val="00875BA9"/>
    <w:rPr>
      <w:b/>
      <w:bCs/>
    </w:rPr>
  </w:style>
  <w:style w:type="character" w:customStyle="1" w:styleId="CommentSubjectChar">
    <w:name w:val="Comment Subject Char"/>
    <w:basedOn w:val="CommentTextChar"/>
    <w:link w:val="CommentSubject"/>
    <w:uiPriority w:val="99"/>
    <w:semiHidden/>
    <w:rsid w:val="00875BA9"/>
    <w:rPr>
      <w:rFonts w:ascii="Arial" w:hAnsi="Arial"/>
      <w:b/>
      <w:bCs/>
      <w:sz w:val="20"/>
      <w:szCs w:val="20"/>
    </w:rPr>
  </w:style>
  <w:style w:type="character" w:styleId="FollowedHyperlink">
    <w:name w:val="FollowedHyperlink"/>
    <w:basedOn w:val="DefaultParagraphFont"/>
    <w:uiPriority w:val="99"/>
    <w:semiHidden/>
    <w:unhideWhenUsed/>
    <w:rsid w:val="00044A49"/>
    <w:rPr>
      <w:color w:val="954F72" w:themeColor="followedHyperlink"/>
      <w:u w:val="single"/>
    </w:rPr>
  </w:style>
  <w:style w:type="character" w:styleId="LineNumber">
    <w:name w:val="line number"/>
    <w:basedOn w:val="DefaultParagraphFont"/>
    <w:uiPriority w:val="99"/>
    <w:semiHidden/>
    <w:unhideWhenUsed/>
    <w:rsid w:val="00205AD0"/>
  </w:style>
  <w:style w:type="character" w:styleId="PageNumber">
    <w:name w:val="page number"/>
    <w:basedOn w:val="DefaultParagraphFont"/>
    <w:uiPriority w:val="99"/>
    <w:semiHidden/>
    <w:unhideWhenUsed/>
    <w:rsid w:val="00C72536"/>
  </w:style>
  <w:style w:type="paragraph" w:styleId="DocumentMap">
    <w:name w:val="Document Map"/>
    <w:basedOn w:val="Normal"/>
    <w:link w:val="DocumentMapChar"/>
    <w:uiPriority w:val="99"/>
    <w:semiHidden/>
    <w:unhideWhenUsed/>
    <w:rsid w:val="00AC628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C6282"/>
    <w:rPr>
      <w:rFonts w:ascii="Lucida Grande" w:hAnsi="Lucida Grande" w:cs="Lucida Grande"/>
      <w:sz w:val="24"/>
      <w:szCs w:val="24"/>
    </w:rPr>
  </w:style>
  <w:style w:type="paragraph" w:styleId="Revision">
    <w:name w:val="Revision"/>
    <w:hidden/>
    <w:uiPriority w:val="99"/>
    <w:semiHidden/>
    <w:rsid w:val="00BA1D2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392796">
      <w:bodyDiv w:val="1"/>
      <w:marLeft w:val="0"/>
      <w:marRight w:val="0"/>
      <w:marTop w:val="0"/>
      <w:marBottom w:val="0"/>
      <w:divBdr>
        <w:top w:val="none" w:sz="0" w:space="0" w:color="auto"/>
        <w:left w:val="none" w:sz="0" w:space="0" w:color="auto"/>
        <w:bottom w:val="none" w:sz="0" w:space="0" w:color="auto"/>
        <w:right w:val="none" w:sz="0" w:space="0" w:color="auto"/>
      </w:divBdr>
      <w:divsChild>
        <w:div w:id="1916158208">
          <w:marLeft w:val="0"/>
          <w:marRight w:val="0"/>
          <w:marTop w:val="0"/>
          <w:marBottom w:val="0"/>
          <w:divBdr>
            <w:top w:val="none" w:sz="0" w:space="0" w:color="auto"/>
            <w:left w:val="none" w:sz="0" w:space="0" w:color="auto"/>
            <w:bottom w:val="none" w:sz="0" w:space="0" w:color="auto"/>
            <w:right w:val="none" w:sz="0" w:space="0" w:color="auto"/>
          </w:divBdr>
          <w:divsChild>
            <w:div w:id="51585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ielsen@ucl.ac.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1E1D8-5F17-484F-974E-ED1E7FBD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19943</Words>
  <Characters>113676</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Nielsen2</dc:creator>
  <cp:keywords/>
  <dc:description/>
  <cp:lastModifiedBy>Glenn Nielsen</cp:lastModifiedBy>
  <cp:revision>6</cp:revision>
  <cp:lastPrinted>2016-07-29T11:44:00Z</cp:lastPrinted>
  <dcterms:created xsi:type="dcterms:W3CDTF">2017-01-16T15:46:00Z</dcterms:created>
  <dcterms:modified xsi:type="dcterms:W3CDTF">2018-11-13T11:24:00Z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http://csl.mendeley.com/styles/459140471/american-medical-association-GN-2</vt:lpwstr>
  </property>
  <property fmtid="{D5CDD505-2E9C-101B-9397-08002B2CF9AE}" pid="6" name="Mendeley Recent Style Name 1_1">
    <vt:lpwstr>American Medical Association - Glenn Nielsen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16th edition (author-date)</vt:lpwstr>
  </property>
  <property fmtid="{D5CDD505-2E9C-101B-9397-08002B2CF9AE}" pid="11" name="Mendeley Recent Style Id 4_1">
    <vt:lpwstr>http://www.zotero.org/styles/ieee</vt:lpwstr>
  </property>
  <property fmtid="{D5CDD505-2E9C-101B-9397-08002B2CF9AE}" pid="12" name="Mendeley Recent Style Name 4_1">
    <vt:lpwstr>IEEE</vt:lpwstr>
  </property>
  <property fmtid="{D5CDD505-2E9C-101B-9397-08002B2CF9AE}" pid="13" name="Mendeley Recent Style Id 5_1">
    <vt:lpwstr>http://www.zotero.org/styles/journal-of-neurology-neurosurgery-and-psychiatry</vt:lpwstr>
  </property>
  <property fmtid="{D5CDD505-2E9C-101B-9397-08002B2CF9AE}" pid="14" name="Mendeley Recent Style Name 5_1">
    <vt:lpwstr>Journal of Neurology, Neurosurgery, and Psychiatry</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7th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http://www.zotero.org/styles/the-lancet-neurology</vt:lpwstr>
  </property>
  <property fmtid="{D5CDD505-2E9C-101B-9397-08002B2CF9AE}" pid="22" name="Mendeley Recent Style Name 9_1">
    <vt:lpwstr>The Lancet Neurology</vt:lpwstr>
  </property>
  <property fmtid="{D5CDD505-2E9C-101B-9397-08002B2CF9AE}" pid="23" name="Mendeley Citation Style_1">
    <vt:lpwstr>http://www.zotero.org/styles/the-lancet-neurology</vt:lpwstr>
  </property>
  <property fmtid="{D5CDD505-2E9C-101B-9397-08002B2CF9AE}" pid="24" name="Mendeley Unique User Id_1">
    <vt:lpwstr>c8bf4f71-b033-39ae-ae49-9fa6bbe4c491</vt:lpwstr>
  </property>
</Properties>
</file>