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4C" w:rsidRDefault="00DC7F4C" w:rsidP="00DC7F4C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Table </w:t>
      </w:r>
      <w:r w:rsidR="00222A97">
        <w:rPr>
          <w:b/>
          <w:lang w:val="en-GB"/>
        </w:rPr>
        <w:t>4</w:t>
      </w:r>
      <w:r>
        <w:rPr>
          <w:b/>
          <w:lang w:val="en-GB"/>
        </w:rPr>
        <w:t>. Summary of Genes with an Over-Representation of Ultra-Rare Variants with a MAF &lt; 0.00005</w:t>
      </w:r>
    </w:p>
    <w:p w:rsidR="00DC7F4C" w:rsidRDefault="00DC7F4C" w:rsidP="00DC7F4C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576"/>
        <w:gridCol w:w="2316"/>
        <w:gridCol w:w="3939"/>
        <w:gridCol w:w="1051"/>
        <w:gridCol w:w="828"/>
        <w:gridCol w:w="1084"/>
        <w:gridCol w:w="1110"/>
      </w:tblGrid>
      <w:tr w:rsidR="00DC7F4C" w:rsidRPr="007D44F7" w:rsidTr="00307085">
        <w:trPr>
          <w:trHeight w:val="1275"/>
        </w:trPr>
        <w:tc>
          <w:tcPr>
            <w:tcW w:w="367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Gene ID</w:t>
            </w:r>
          </w:p>
        </w:tc>
        <w:tc>
          <w:tcPr>
            <w:tcW w:w="695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Gene/Protein Name</w:t>
            </w:r>
          </w:p>
        </w:tc>
        <w:tc>
          <w:tcPr>
            <w:tcW w:w="733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OMIM Disease Associations</w:t>
            </w:r>
          </w:p>
        </w:tc>
        <w:tc>
          <w:tcPr>
            <w:tcW w:w="2089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PathCards SuperPathways</w:t>
            </w:r>
          </w:p>
        </w:tc>
        <w:tc>
          <w:tcPr>
            <w:tcW w:w="298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pValue</w:t>
            </w:r>
          </w:p>
        </w:tc>
        <w:tc>
          <w:tcPr>
            <w:tcW w:w="272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Odds Ratio (OR)</w:t>
            </w:r>
          </w:p>
        </w:tc>
        <w:tc>
          <w:tcPr>
            <w:tcW w:w="272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Number of Variant Positive Cases (n=278)</w:t>
            </w:r>
          </w:p>
        </w:tc>
        <w:tc>
          <w:tcPr>
            <w:tcW w:w="273" w:type="pct"/>
            <w:shd w:val="clear" w:color="auto" w:fill="BFBFBF"/>
            <w:hideMark/>
          </w:tcPr>
          <w:p w:rsidR="00DC7F4C" w:rsidRPr="007D44F7" w:rsidRDefault="00DC7F4C" w:rsidP="00307085">
            <w:pPr>
              <w:jc w:val="center"/>
              <w:rPr>
                <w:b/>
                <w:bCs/>
                <w:color w:val="000000"/>
              </w:rPr>
            </w:pPr>
            <w:r w:rsidRPr="007D44F7">
              <w:rPr>
                <w:b/>
                <w:bCs/>
                <w:color w:val="000000"/>
              </w:rPr>
              <w:t>Number of Variant Positive Controls (n=973)</w:t>
            </w:r>
          </w:p>
        </w:tc>
      </w:tr>
      <w:tr w:rsidR="00DC7F4C" w:rsidRPr="007D44F7" w:rsidTr="00307085">
        <w:trPr>
          <w:trHeight w:val="4080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LDL Receptor Related Protein 1 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 Association with Alzheimer disease 2) Association with Abdominal Aortic Aneurysm 3) Intellectual Disability</w:t>
            </w:r>
          </w:p>
        </w:tc>
        <w:tc>
          <w:tcPr>
            <w:tcW w:w="2089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sz w:val="20"/>
                <w:szCs w:val="20"/>
              </w:rPr>
            </w:pPr>
            <w:r w:rsidRPr="007D44F7">
              <w:rPr>
                <w:sz w:val="20"/>
                <w:szCs w:val="20"/>
              </w:rPr>
              <w:t>1)  Statin Pathway</w:t>
            </w:r>
            <w:r w:rsidRPr="007D44F7">
              <w:rPr>
                <w:sz w:val="20"/>
                <w:szCs w:val="20"/>
              </w:rPr>
              <w:br/>
              <w:t xml:space="preserve">2)  A-beta Pathways: Uptake and Degradation </w:t>
            </w:r>
            <w:r w:rsidRPr="007D44F7">
              <w:rPr>
                <w:sz w:val="20"/>
                <w:szCs w:val="20"/>
              </w:rPr>
              <w:br/>
              <w:t xml:space="preserve">3)  Alzheimers Disease Pathway </w:t>
            </w:r>
            <w:r w:rsidRPr="007D44F7">
              <w:rPr>
                <w:sz w:val="20"/>
                <w:szCs w:val="20"/>
              </w:rPr>
              <w:br/>
              <w:t xml:space="preserve">4)  Malaria </w:t>
            </w:r>
            <w:r w:rsidRPr="007D44F7">
              <w:rPr>
                <w:sz w:val="20"/>
                <w:szCs w:val="20"/>
              </w:rPr>
              <w:br/>
              <w:t xml:space="preserve">5)  PDGFR-beta signaling pathway </w:t>
            </w:r>
            <w:r w:rsidRPr="007D44F7">
              <w:rPr>
                <w:sz w:val="20"/>
                <w:szCs w:val="20"/>
              </w:rPr>
              <w:br/>
              <w:t xml:space="preserve">6)  amb2 Integrin signaling </w:t>
            </w:r>
            <w:r w:rsidRPr="007D44F7">
              <w:rPr>
                <w:sz w:val="20"/>
                <w:szCs w:val="20"/>
              </w:rPr>
              <w:br/>
              <w:t xml:space="preserve">7)  Binding and Uptake of Ligands by Scavenger Receptors </w:t>
            </w:r>
            <w:r w:rsidRPr="007D44F7">
              <w:rPr>
                <w:sz w:val="20"/>
                <w:szCs w:val="20"/>
              </w:rPr>
              <w:br/>
              <w:t xml:space="preserve">8)  Blood-Brain Barrier and Immune Cell Transmigration: Pathways Overview </w:t>
            </w:r>
            <w:r w:rsidRPr="007D44F7">
              <w:rPr>
                <w:sz w:val="20"/>
                <w:szCs w:val="20"/>
              </w:rPr>
              <w:br/>
              <w:t xml:space="preserve">9)  Metabolism of fat-soluble vitamins </w:t>
            </w:r>
            <w:r w:rsidRPr="007D44F7">
              <w:rPr>
                <w:sz w:val="20"/>
                <w:szCs w:val="20"/>
              </w:rPr>
              <w:br/>
              <w:t xml:space="preserve">10)  Non-Canonical Wnt Pathway </w:t>
            </w:r>
            <w:r w:rsidRPr="007D44F7">
              <w:rPr>
                <w:sz w:val="20"/>
                <w:szCs w:val="20"/>
              </w:rPr>
              <w:br/>
              <w:t>11)  Metabolism of water-soluble vitamins and cofactors</w:t>
            </w:r>
            <w:r w:rsidRPr="007D44F7">
              <w:rPr>
                <w:sz w:val="20"/>
                <w:szCs w:val="20"/>
              </w:rPr>
              <w:br/>
              <w:t xml:space="preserve">12)  Wnt signaling pathway (KEGG) </w:t>
            </w:r>
            <w:r w:rsidRPr="007D44F7">
              <w:rPr>
                <w:sz w:val="20"/>
                <w:szCs w:val="20"/>
              </w:rPr>
              <w:br/>
              <w:t xml:space="preserve">13)  Alzheimer's disease </w:t>
            </w:r>
            <w:r w:rsidRPr="007D44F7">
              <w:rPr>
                <w:sz w:val="20"/>
                <w:szCs w:val="20"/>
              </w:rPr>
              <w:br/>
              <w:t xml:space="preserve">14)  Vesicle-mediated transport </w:t>
            </w:r>
            <w:r w:rsidRPr="007D44F7">
              <w:rPr>
                <w:sz w:val="20"/>
                <w:szCs w:val="20"/>
              </w:rPr>
              <w:br/>
              <w:t xml:space="preserve">15)  Signaling by GPCR </w:t>
            </w:r>
            <w:r w:rsidRPr="007D44F7">
              <w:rPr>
                <w:sz w:val="20"/>
                <w:szCs w:val="20"/>
              </w:rPr>
              <w:br/>
              <w:t>16)  Metabolism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0.000269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3.8948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16 (5.8%)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15 (1.5%)</w:t>
            </w:r>
          </w:p>
        </w:tc>
      </w:tr>
      <w:tr w:rsidR="00DC7F4C" w:rsidRPr="007D44F7" w:rsidTr="00307085">
        <w:trPr>
          <w:trHeight w:val="255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LHX9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LIM Homeobox 9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0.000527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255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PDS5A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PDS5 Cohesin Associated Factor A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0.000657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21.389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 (0.1%)</w:t>
            </w:r>
          </w:p>
        </w:tc>
      </w:tr>
      <w:tr w:rsidR="00DC7F4C" w:rsidRPr="007D44F7" w:rsidTr="00307085">
        <w:trPr>
          <w:trHeight w:val="2550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lastRenderedPageBreak/>
              <w:t>ULK1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Unc-51 Like Autophagy Activating Kinase 1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Regulation of autophagy</w:t>
            </w:r>
            <w:r w:rsidRPr="007D44F7">
              <w:rPr>
                <w:color w:val="000000"/>
                <w:sz w:val="20"/>
                <w:szCs w:val="20"/>
              </w:rPr>
              <w:br/>
              <w:t>2)  Senescence and Autophagy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Longevity regulating pathway - multiple species </w:t>
            </w:r>
            <w:r w:rsidRPr="007D44F7">
              <w:rPr>
                <w:color w:val="000000"/>
                <w:sz w:val="20"/>
                <w:szCs w:val="20"/>
              </w:rPr>
              <w:br/>
              <w:t>4)  AMPK signaling pathway</w:t>
            </w:r>
            <w:r w:rsidRPr="007D44F7">
              <w:rPr>
                <w:color w:val="000000"/>
                <w:sz w:val="20"/>
                <w:szCs w:val="20"/>
              </w:rPr>
              <w:br/>
              <w:t>5)  p53 Pathway (RnD)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6)  mTOR signalling </w:t>
            </w:r>
            <w:r w:rsidRPr="007D44F7">
              <w:rPr>
                <w:color w:val="000000"/>
                <w:sz w:val="20"/>
                <w:szCs w:val="20"/>
              </w:rPr>
              <w:br/>
              <w:t>7)  Glucose / Energy Metabolism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8)  Neuroscience </w:t>
            </w:r>
            <w:r w:rsidRPr="007D44F7">
              <w:rPr>
                <w:color w:val="000000"/>
                <w:sz w:val="20"/>
                <w:szCs w:val="20"/>
              </w:rPr>
              <w:br/>
              <w:t>9) Translation Insulin regulation of translation</w:t>
            </w:r>
            <w:r w:rsidRPr="007D44F7">
              <w:rPr>
                <w:color w:val="000000"/>
                <w:sz w:val="20"/>
                <w:szCs w:val="20"/>
              </w:rPr>
              <w:br/>
              <w:t>10)  Cellular Senescence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DC7F4C" w:rsidRPr="007D44F7" w:rsidTr="00307085">
        <w:trPr>
          <w:trHeight w:val="1785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NR3C2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Nuclear Receptor Subfamily 3 Group C Member 2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 xml:space="preserve">1) Pseudohypoaldosteronism Type I, Autosomal Dominant        </w:t>
            </w:r>
            <w:r w:rsidRPr="007D44F7">
              <w:rPr>
                <w:color w:val="333333"/>
                <w:sz w:val="20"/>
                <w:szCs w:val="20"/>
              </w:rPr>
              <w:br/>
              <w:t>2) Hypertension, Early-Onset, Autosomal Dominant, with Severe Exacerbation in Pregnancy</w:t>
            </w:r>
          </w:p>
        </w:tc>
        <w:tc>
          <w:tcPr>
            <w:tcW w:w="2089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Aldosterone-regulated sodium reabsorption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Agents Acting on the Renin-Angiotensin System Pathway, Pharmacodynamics </w:t>
            </w:r>
            <w:r w:rsidRPr="007D44F7">
              <w:rPr>
                <w:color w:val="000000"/>
                <w:sz w:val="20"/>
                <w:szCs w:val="20"/>
              </w:rPr>
              <w:br/>
              <w:t>3)  Nuclear Receptor transcription pathway</w:t>
            </w:r>
            <w:r w:rsidRPr="007D44F7">
              <w:rPr>
                <w:color w:val="000000"/>
                <w:sz w:val="20"/>
                <w:szCs w:val="20"/>
              </w:rPr>
              <w:br/>
              <w:t>4)  Gene Expression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0.002137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2 (0.21%)</w:t>
            </w:r>
          </w:p>
        </w:tc>
      </w:tr>
      <w:tr w:rsidR="00DC7F4C" w:rsidRPr="007D44F7" w:rsidTr="00307085">
        <w:trPr>
          <w:trHeight w:val="510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OR4C6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Olfactory Receptor Family 4 Subfamily C Member 6 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Olfactory Signaling Pathway</w:t>
            </w:r>
            <w:r w:rsidRPr="007D44F7">
              <w:rPr>
                <w:color w:val="000000"/>
                <w:sz w:val="20"/>
                <w:szCs w:val="20"/>
              </w:rPr>
              <w:br/>
              <w:t>2) Signaling by GPCR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4080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lastRenderedPageBreak/>
              <w:t>CHRM3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Cholinergic Receptor Muscarinic 3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 Purne Belly Syndrome (autosomal recessive)</w:t>
            </w:r>
          </w:p>
        </w:tc>
        <w:tc>
          <w:tcPr>
            <w:tcW w:w="2089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Proton Pump Inhibitor Pathway, Pharmacodynamics</w:t>
            </w:r>
            <w:r w:rsidRPr="007D44F7">
              <w:rPr>
                <w:color w:val="000000"/>
                <w:sz w:val="20"/>
                <w:szCs w:val="20"/>
              </w:rPr>
              <w:br/>
              <w:t>2)  Monoamine GPCRs</w:t>
            </w:r>
            <w:r w:rsidRPr="007D44F7">
              <w:rPr>
                <w:color w:val="000000"/>
                <w:sz w:val="20"/>
                <w:szCs w:val="20"/>
              </w:rPr>
              <w:br/>
              <w:t>3)  GPCRs, Other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Taste transduction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5)  Pancreatic secretion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6)  Integration of energy metabolism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7)  Salivary secretion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8)  Insulin secretion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9) Myometrial Relaxation and Contraction Pathways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10)  Calcium signaling pathway </w:t>
            </w:r>
            <w:r w:rsidRPr="007D44F7">
              <w:rPr>
                <w:color w:val="000000"/>
                <w:sz w:val="20"/>
                <w:szCs w:val="20"/>
              </w:rPr>
              <w:br/>
              <w:t>11)  Regulation of actin cytoskeleton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12)  Circadian entrainment </w:t>
            </w:r>
            <w:r w:rsidRPr="007D44F7">
              <w:rPr>
                <w:color w:val="000000"/>
                <w:sz w:val="20"/>
                <w:szCs w:val="20"/>
              </w:rPr>
              <w:br/>
              <w:t>13)  Peptide ligand-binding receptors</w:t>
            </w:r>
            <w:r w:rsidRPr="007D44F7">
              <w:rPr>
                <w:color w:val="000000"/>
                <w:sz w:val="20"/>
                <w:szCs w:val="20"/>
              </w:rPr>
              <w:br/>
              <w:t>14)  Interleukin-3, 5 and GM-CSF signaling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15)  Signaling by GPCR </w:t>
            </w:r>
            <w:r w:rsidRPr="007D44F7">
              <w:rPr>
                <w:color w:val="000000"/>
                <w:sz w:val="20"/>
                <w:szCs w:val="20"/>
              </w:rPr>
              <w:br/>
              <w:t>16)  Metabolism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510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CYB5D1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Cytochrome B5 Domain Containing 1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1020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Guanylate Binding Protein 2 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 xml:space="preserve">1)  Immune response IFN alpha/beta signaling pathway </w:t>
            </w:r>
            <w:r w:rsidRPr="007D44F7">
              <w:rPr>
                <w:color w:val="000000"/>
                <w:sz w:val="20"/>
                <w:szCs w:val="20"/>
              </w:rPr>
              <w:br/>
              <w:t>2)  Interferon gamma signaling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Interleukin-3, 5 and GM-CSF signaling </w:t>
            </w:r>
            <w:r w:rsidRPr="007D44F7">
              <w:rPr>
                <w:color w:val="000000"/>
                <w:sz w:val="20"/>
                <w:szCs w:val="20"/>
              </w:rPr>
              <w:br/>
              <w:t>4)  Immune System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255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ZNF506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Zinc Finger Protein 506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 Gene Expression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510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IFRD2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Interferon-Related Developmental Regulator 2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765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BICD2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BICD Cargo Adaptor 2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1) Autosomal dominant lower extremity-predominant spinal muscular atrophy-2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COPI-independent Golgi-to-ER retrograde traffic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Golgi-to-ER retrograde transport </w:t>
            </w:r>
            <w:r w:rsidRPr="007D44F7">
              <w:rPr>
                <w:color w:val="000000"/>
                <w:sz w:val="20"/>
                <w:szCs w:val="20"/>
              </w:rPr>
              <w:br/>
              <w:t>3)  Vesicle-mediated transport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0.002398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7F4C" w:rsidRPr="007D44F7" w:rsidTr="00307085">
        <w:trPr>
          <w:trHeight w:val="255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KDM4DL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Lysine Demethylase 4E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 (0.1%)</w:t>
            </w:r>
          </w:p>
        </w:tc>
      </w:tr>
      <w:tr w:rsidR="00DC7F4C" w:rsidRPr="007D44F7" w:rsidTr="00307085">
        <w:trPr>
          <w:trHeight w:val="765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lastRenderedPageBreak/>
              <w:t>TNFRSF10D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Tumor Necrosis Factor Receptor Superfamily Member 10d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1 (0.1%)</w:t>
            </w:r>
          </w:p>
        </w:tc>
      </w:tr>
      <w:tr w:rsidR="00DC7F4C" w:rsidRPr="007D44F7" w:rsidTr="00307085">
        <w:trPr>
          <w:trHeight w:val="510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CTIF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CBP80/20-Dependent Translation Initiation Factor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0.003588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(0.4%)</w:t>
            </w:r>
          </w:p>
        </w:tc>
      </w:tr>
      <w:tr w:rsidR="00DC7F4C" w:rsidRPr="007D44F7" w:rsidTr="00307085">
        <w:trPr>
          <w:trHeight w:val="1275"/>
        </w:trPr>
        <w:tc>
          <w:tcPr>
            <w:tcW w:w="367" w:type="pct"/>
            <w:shd w:val="clear" w:color="auto" w:fill="DBE5F1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COL20A1</w:t>
            </w:r>
          </w:p>
        </w:tc>
        <w:tc>
          <w:tcPr>
            <w:tcW w:w="695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Collagen Type XX Alpha 1 </w:t>
            </w:r>
          </w:p>
        </w:tc>
        <w:tc>
          <w:tcPr>
            <w:tcW w:w="733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DBE5F1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 xml:space="preserve">1) Collagen biosynthesis and modifying enzymes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2)  Degradation of the extracellular matrix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Integrin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Phospholipase-C Pathway </w:t>
            </w:r>
            <w:r w:rsidRPr="007D44F7">
              <w:rPr>
                <w:color w:val="000000"/>
                <w:sz w:val="20"/>
                <w:szCs w:val="20"/>
              </w:rPr>
              <w:br/>
              <w:t>5)  ERK Signaling</w:t>
            </w:r>
          </w:p>
        </w:tc>
        <w:tc>
          <w:tcPr>
            <w:tcW w:w="298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0.003588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272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73" w:type="pct"/>
            <w:shd w:val="clear" w:color="auto" w:fill="DBE5F1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 (0.4%)</w:t>
            </w:r>
          </w:p>
        </w:tc>
      </w:tr>
      <w:tr w:rsidR="00DC7F4C" w:rsidRPr="007D44F7" w:rsidTr="00307085">
        <w:trPr>
          <w:trHeight w:val="4335"/>
        </w:trPr>
        <w:tc>
          <w:tcPr>
            <w:tcW w:w="367" w:type="pct"/>
            <w:shd w:val="clear" w:color="auto" w:fill="auto"/>
            <w:noWrap/>
            <w:hideMark/>
          </w:tcPr>
          <w:p w:rsidR="00DC7F4C" w:rsidRPr="00FE7CDD" w:rsidRDefault="00DC7F4C" w:rsidP="00307085">
            <w:pPr>
              <w:rPr>
                <w:i/>
                <w:color w:val="000000"/>
                <w:sz w:val="20"/>
                <w:szCs w:val="20"/>
              </w:rPr>
            </w:pPr>
            <w:r w:rsidRPr="00FE7CDD">
              <w:rPr>
                <w:i/>
                <w:color w:val="000000"/>
                <w:sz w:val="20"/>
                <w:szCs w:val="20"/>
              </w:rPr>
              <w:t>ARHGEF16</w:t>
            </w:r>
          </w:p>
        </w:tc>
        <w:tc>
          <w:tcPr>
            <w:tcW w:w="695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Rho Guanine Nucleotide Exchange Factor 16</w:t>
            </w:r>
          </w:p>
        </w:tc>
        <w:tc>
          <w:tcPr>
            <w:tcW w:w="733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333333"/>
                <w:sz w:val="20"/>
                <w:szCs w:val="20"/>
              </w:rPr>
            </w:pPr>
            <w:r w:rsidRPr="007D44F7">
              <w:rPr>
                <w:color w:val="333333"/>
                <w:sz w:val="20"/>
                <w:szCs w:val="20"/>
              </w:rPr>
              <w:t>None</w:t>
            </w:r>
          </w:p>
        </w:tc>
        <w:tc>
          <w:tcPr>
            <w:tcW w:w="2089" w:type="pct"/>
            <w:shd w:val="clear" w:color="auto" w:fill="auto"/>
            <w:hideMark/>
          </w:tcPr>
          <w:p w:rsidR="00DC7F4C" w:rsidRPr="007D44F7" w:rsidRDefault="00DC7F4C" w:rsidP="00307085">
            <w:pPr>
              <w:rPr>
                <w:color w:val="000000"/>
                <w:sz w:val="20"/>
                <w:szCs w:val="20"/>
              </w:rPr>
            </w:pPr>
            <w:r w:rsidRPr="007D44F7">
              <w:rPr>
                <w:color w:val="000000"/>
                <w:sz w:val="20"/>
                <w:szCs w:val="20"/>
              </w:rPr>
              <w:t>1) NgR-p75(NTR)-Mediated Signaling</w:t>
            </w:r>
            <w:r w:rsidRPr="007D44F7">
              <w:rPr>
                <w:color w:val="000000"/>
                <w:sz w:val="20"/>
                <w:szCs w:val="20"/>
              </w:rPr>
              <w:br/>
              <w:t>2)  Signaling by Slit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3)  Interferon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4)  p75 NTR receptor-mediated signalling </w:t>
            </w:r>
            <w:r w:rsidRPr="007D44F7">
              <w:rPr>
                <w:color w:val="000000"/>
                <w:sz w:val="20"/>
                <w:szCs w:val="20"/>
              </w:rPr>
              <w:br/>
              <w:t>5)  Guidance Cues and Growth Cone Motility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6)  G-AlphaQ Signaling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7)  RhoGDI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8)  fMLP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9)  Actin Nucleation by ARP-WASP Complex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10)  Signaling by Rho GTPases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11)  TGF-Beta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12)  Phospholipase-C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13)  GPCR Pathway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14)  Apoptotic Pathways in Synovial Fibroblasts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15)  Interleukin-3, 5 and GM-CSF signaling </w:t>
            </w:r>
            <w:r w:rsidRPr="007D44F7">
              <w:rPr>
                <w:color w:val="000000"/>
                <w:sz w:val="20"/>
                <w:szCs w:val="20"/>
              </w:rPr>
              <w:br/>
              <w:t xml:space="preserve">16)  ERK Signaling </w:t>
            </w:r>
            <w:r w:rsidRPr="007D44F7">
              <w:rPr>
                <w:color w:val="000000"/>
                <w:sz w:val="20"/>
                <w:szCs w:val="20"/>
              </w:rPr>
              <w:br/>
              <w:t>17)  Signaling by GPCR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0.004595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4.7675</w:t>
            </w:r>
          </w:p>
        </w:tc>
        <w:tc>
          <w:tcPr>
            <w:tcW w:w="272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DC7F4C" w:rsidRPr="007D44F7" w:rsidRDefault="00DC7F4C" w:rsidP="0030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44F7">
              <w:rPr>
                <w:rFonts w:ascii="Arial" w:hAnsi="Arial" w:cs="Arial"/>
                <w:color w:val="000000"/>
                <w:sz w:val="20"/>
                <w:szCs w:val="20"/>
              </w:rPr>
              <w:t>6 (0.62%)</w:t>
            </w:r>
          </w:p>
        </w:tc>
      </w:tr>
    </w:tbl>
    <w:p w:rsidR="00DC7F4C" w:rsidRDefault="00DC7F4C" w:rsidP="00DC7F4C">
      <w:pPr>
        <w:rPr>
          <w:b/>
          <w:lang w:val="en-GB"/>
        </w:rPr>
      </w:pPr>
    </w:p>
    <w:p w:rsidR="00DC7F4C" w:rsidRPr="00E61663" w:rsidRDefault="00DC7F4C" w:rsidP="00DC7F4C">
      <w:pPr>
        <w:rPr>
          <w:lang w:val="en-GB"/>
        </w:rPr>
      </w:pPr>
      <w:r w:rsidRPr="00E61663">
        <w:rPr>
          <w:lang w:val="en-GB"/>
        </w:rPr>
        <w:t>INF = infinite</w:t>
      </w:r>
    </w:p>
    <w:p w:rsidR="00754BD8" w:rsidRDefault="00754BD8"/>
    <w:sectPr w:rsidR="00754BD8" w:rsidSect="00DC7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4C"/>
    <w:rsid w:val="00022865"/>
    <w:rsid w:val="00222A97"/>
    <w:rsid w:val="00754BD8"/>
    <w:rsid w:val="00D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04C70-F89F-4B45-A1D5-B2DC5AEE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2018-11-07T09:20:00Z</dcterms:created>
  <dcterms:modified xsi:type="dcterms:W3CDTF">2018-11-07T09:20:00Z</dcterms:modified>
</cp:coreProperties>
</file>