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BA" w:rsidRPr="00FF1004" w:rsidRDefault="007D41BA" w:rsidP="007D41BA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F1004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523661">
        <w:rPr>
          <w:rFonts w:ascii="Times New Roman" w:hAnsi="Times New Roman"/>
          <w:b/>
          <w:sz w:val="24"/>
          <w:szCs w:val="24"/>
          <w:lang w:val="en-GB"/>
        </w:rPr>
        <w:t>1</w:t>
      </w:r>
      <w:bookmarkStart w:id="0" w:name="_GoBack"/>
      <w:bookmarkEnd w:id="0"/>
      <w:r w:rsidRPr="00FF1004">
        <w:rPr>
          <w:rFonts w:ascii="Times New Roman" w:hAnsi="Times New Roman"/>
          <w:b/>
          <w:sz w:val="24"/>
          <w:szCs w:val="24"/>
          <w:lang w:val="en-GB"/>
        </w:rPr>
        <w:t>. Demographical and clinical characteristics of the 217 included children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42"/>
        <w:gridCol w:w="1661"/>
        <w:gridCol w:w="1661"/>
        <w:gridCol w:w="1661"/>
        <w:gridCol w:w="1172"/>
        <w:gridCol w:w="1661"/>
        <w:gridCol w:w="1661"/>
        <w:gridCol w:w="1001"/>
      </w:tblGrid>
      <w:tr w:rsidR="007D41BA" w:rsidRPr="00FF1004" w:rsidTr="00702EB0">
        <w:tc>
          <w:tcPr>
            <w:tcW w:w="1316" w:type="pct"/>
          </w:tcPr>
          <w:p w:rsidR="007D41BA" w:rsidRPr="00FF1004" w:rsidRDefault="007D41BA" w:rsidP="007D41BA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All patients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(n=217)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2-p</w:t>
            </w:r>
            <w:r w:rsidR="00FF1004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ed group (n=171)</w:t>
            </w: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No. (%)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7-p</w:t>
            </w:r>
            <w:r w:rsidR="00FF1004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ed group 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(n=46)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412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p value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Carriers (n=11)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Non-carriers (n=206)</w:t>
            </w:r>
          </w:p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No. (%)</w:t>
            </w:r>
          </w:p>
        </w:tc>
        <w:tc>
          <w:tcPr>
            <w:tcW w:w="353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p value</w:t>
            </w:r>
          </w:p>
        </w:tc>
      </w:tr>
      <w:tr w:rsidR="007D41BA" w:rsidRPr="00FF1004" w:rsidTr="00702EB0">
        <w:tc>
          <w:tcPr>
            <w:tcW w:w="1316" w:type="pct"/>
          </w:tcPr>
          <w:p w:rsidR="007D41BA" w:rsidRPr="00FF1004" w:rsidRDefault="007D41BA" w:rsidP="007D41BA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Male/Female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119/98 (54.8/45.2)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 xml:space="preserve">98/73 (57.3/42.7) 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21/25 (45.7/54.3)</w:t>
            </w:r>
          </w:p>
        </w:tc>
        <w:tc>
          <w:tcPr>
            <w:tcW w:w="412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0.18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5/6 (65.5/54.5)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114/92 (55.3/44.7)</w:t>
            </w:r>
          </w:p>
        </w:tc>
        <w:tc>
          <w:tcPr>
            <w:tcW w:w="353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0.55</w:t>
            </w:r>
          </w:p>
        </w:tc>
      </w:tr>
      <w:tr w:rsidR="007D41BA" w:rsidRPr="00FF1004" w:rsidTr="00702EB0">
        <w:tc>
          <w:tcPr>
            <w:tcW w:w="1316" w:type="pct"/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Age in months </w:t>
            </w:r>
          </w:p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(median, 25-75th percentile)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13.3  (9.4-21.3)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 xml:space="preserve">13.2 </w:t>
            </w: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br/>
              <w:t>(9.2-21.0)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 xml:space="preserve">13.3 </w:t>
            </w: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br/>
              <w:t>(11.1-24.1)</w:t>
            </w:r>
          </w:p>
        </w:tc>
        <w:tc>
          <w:tcPr>
            <w:tcW w:w="412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0.21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18.5</w:t>
            </w: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(13.5-22.0)</w:t>
            </w:r>
          </w:p>
        </w:tc>
        <w:tc>
          <w:tcPr>
            <w:tcW w:w="584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13.2 (9.3-21.1)</w:t>
            </w:r>
          </w:p>
        </w:tc>
        <w:tc>
          <w:tcPr>
            <w:tcW w:w="353" w:type="pc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0.23</w:t>
            </w:r>
          </w:p>
        </w:tc>
      </w:tr>
      <w:tr w:rsidR="007D41BA" w:rsidRPr="00FF1004" w:rsidTr="00702EB0">
        <w:tc>
          <w:tcPr>
            <w:tcW w:w="1316" w:type="pct"/>
            <w:tcBorders>
              <w:bottom w:val="single" w:sz="4" w:space="0" w:color="auto"/>
            </w:tcBorders>
          </w:tcPr>
          <w:p w:rsidR="007D41BA" w:rsidRPr="00FF1004" w:rsidRDefault="007D41BA" w:rsidP="007D41BA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Child care modalities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rPr>
          <w:trHeight w:val="576"/>
        </w:trPr>
        <w:tc>
          <w:tcPr>
            <w:tcW w:w="1316" w:type="pct"/>
            <w:tcBorders>
              <w:bottom w:val="nil"/>
            </w:tcBorders>
            <w:shd w:val="clear" w:color="auto" w:fill="auto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At home</w:t>
            </w:r>
            <w:r w:rsidRPr="00FF100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166 (76.5)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142 (83.0)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24 (52.2)</w:t>
            </w:r>
          </w:p>
        </w:tc>
        <w:tc>
          <w:tcPr>
            <w:tcW w:w="412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 (36.4)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162 (78.6)</w:t>
            </w:r>
          </w:p>
        </w:tc>
        <w:tc>
          <w:tcPr>
            <w:tcW w:w="353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0.004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Out-of-home</w:t>
            </w:r>
            <w:r w:rsidRPr="00FF100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51 (23.5)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29 (17.0)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22 (47.8)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7 (63.6)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44 (21.4)</w:t>
            </w:r>
          </w:p>
        </w:tc>
        <w:tc>
          <w:tcPr>
            <w:tcW w:w="353" w:type="pct"/>
            <w:vMerge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  <w:shd w:val="clear" w:color="auto" w:fill="auto"/>
          </w:tcPr>
          <w:p w:rsidR="007D41BA" w:rsidRPr="00FF1004" w:rsidRDefault="007D41BA" w:rsidP="007D41BA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Day-care </w:t>
            </w:r>
            <w:r w:rsidR="00FF1004" w:rsidRPr="00FF1004">
              <w:rPr>
                <w:rFonts w:ascii="Times New Roman" w:hAnsi="Times New Roman"/>
                <w:sz w:val="24"/>
                <w:szCs w:val="24"/>
                <w:lang w:val="en-GB"/>
              </w:rPr>
              <w:t>centre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42 (19.4)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23 (13.5) 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19 (41.3)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&lt;0.001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7 (63.6)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35 (17.0)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0.002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1- 3 days/week 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13 (25.5)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12 (41.4)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 (9.1)</w:t>
            </w:r>
          </w:p>
        </w:tc>
        <w:tc>
          <w:tcPr>
            <w:tcW w:w="412" w:type="pct"/>
            <w:vMerge w:val="restar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0.01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 (14.3)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12 (27.3)</w:t>
            </w:r>
          </w:p>
        </w:tc>
        <w:tc>
          <w:tcPr>
            <w:tcW w:w="353" w:type="pct"/>
            <w:vMerge w:val="restar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0.66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≥ 4 days/week 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38 (74.5)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17 (58.6)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20 (90.9)</w:t>
            </w:r>
          </w:p>
        </w:tc>
        <w:tc>
          <w:tcPr>
            <w:tcW w:w="412" w:type="pct"/>
            <w:vMerge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6 (85.7)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32 (72.7)</w:t>
            </w:r>
          </w:p>
        </w:tc>
        <w:tc>
          <w:tcPr>
            <w:tcW w:w="353" w:type="pct"/>
            <w:vMerge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bottom w:val="single" w:sz="4" w:space="0" w:color="auto"/>
            </w:tcBorders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Siblings &lt; 5 years of age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ind w:left="42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91 (41.9)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68 (39.8)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23 (50)</w:t>
            </w:r>
          </w:p>
        </w:tc>
        <w:tc>
          <w:tcPr>
            <w:tcW w:w="412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0.24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5 (45.5)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86 (41.7)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Out-of-home care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66 (72.5)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49 (72.1)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17 (73.9)</w:t>
            </w:r>
          </w:p>
        </w:tc>
        <w:tc>
          <w:tcPr>
            <w:tcW w:w="412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 (36.4)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62 (30.1)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0.74</w:t>
            </w:r>
          </w:p>
        </w:tc>
      </w:tr>
      <w:tr w:rsidR="007D41BA" w:rsidRPr="00FF1004" w:rsidTr="00702EB0">
        <w:tc>
          <w:tcPr>
            <w:tcW w:w="1316" w:type="pct"/>
            <w:tcBorders>
              <w:bottom w:val="single" w:sz="4" w:space="0" w:color="auto"/>
            </w:tcBorders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Recent antibiotic therapy</w:t>
            </w:r>
            <w:r w:rsidRPr="00FF100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40 (18.4)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32 (18.7)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8 (17.4)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 (9.1)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39 (18.9)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0.69</w:t>
            </w:r>
          </w:p>
        </w:tc>
      </w:tr>
      <w:tr w:rsidR="007D41BA" w:rsidRPr="006F397A" w:rsidTr="00702EB0">
        <w:tc>
          <w:tcPr>
            <w:tcW w:w="1316" w:type="pct"/>
            <w:tcBorders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Last day of antibiotic taken before inclusion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7 to 14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6 (2.8)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6 (18.8)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 (0.0)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0.32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 (0)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6 (15.4)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15 to 30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12 (5.5)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9 (28.1)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3 (37.5)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0.68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 (0)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12 (30.8)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31 to 60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12 (5.5)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11 (34.4)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 (12.5)</w:t>
            </w: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0.40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 (0)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12 (30.8)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</w:tcBorders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61 to 90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10 (4.6)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7 (21.9)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3 (37.5)</w:t>
            </w:r>
          </w:p>
        </w:tc>
        <w:tc>
          <w:tcPr>
            <w:tcW w:w="412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0.39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1 (9.1)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</w:pPr>
            <w:r w:rsidRPr="00FF1004">
              <w:rPr>
                <w:rFonts w:ascii="Times New Roman" w:hAnsi="Times New Roman"/>
                <w:color w:val="000000"/>
                <w:sz w:val="24"/>
                <w:szCs w:val="24"/>
                <w:lang w:val="en-GB" w:eastAsia="fr-FR"/>
              </w:rPr>
              <w:t>9 (23.1)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</w:tr>
      <w:tr w:rsidR="007D41BA" w:rsidRPr="00FF1004" w:rsidTr="00702EB0">
        <w:tc>
          <w:tcPr>
            <w:tcW w:w="1316" w:type="pct"/>
            <w:tcBorders>
              <w:bottom w:val="single" w:sz="4" w:space="0" w:color="auto"/>
            </w:tcBorders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Chronic underlying condition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213 (98.2)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167 (97.7)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46 (100)</w:t>
            </w:r>
          </w:p>
        </w:tc>
        <w:tc>
          <w:tcPr>
            <w:tcW w:w="412" w:type="pct"/>
            <w:vMerge w:val="restar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0.58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11 (100)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202 (98.1)</w:t>
            </w:r>
          </w:p>
        </w:tc>
        <w:tc>
          <w:tcPr>
            <w:tcW w:w="353" w:type="pct"/>
            <w:vMerge w:val="restart"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</w:tcBorders>
          </w:tcPr>
          <w:p w:rsidR="007D41BA" w:rsidRPr="00FF1004" w:rsidRDefault="007D41BA" w:rsidP="007D41BA">
            <w:pPr>
              <w:spacing w:after="0"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  <w:r w:rsidRPr="00FF100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 (1.8)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4 (2.3)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0 (0)</w:t>
            </w:r>
          </w:p>
        </w:tc>
        <w:tc>
          <w:tcPr>
            <w:tcW w:w="412" w:type="pct"/>
            <w:vMerge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 (0.0)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4 (1.9)</w:t>
            </w:r>
          </w:p>
        </w:tc>
        <w:tc>
          <w:tcPr>
            <w:tcW w:w="353" w:type="pct"/>
            <w:vMerge/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bottom w:val="single" w:sz="4" w:space="0" w:color="auto"/>
            </w:tcBorders>
          </w:tcPr>
          <w:p w:rsidR="007D41BA" w:rsidRPr="00FF1004" w:rsidRDefault="007D41BA" w:rsidP="007D41BA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Medical condition at inclusion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D41BA" w:rsidRPr="00FF1004" w:rsidTr="00702EB0">
        <w:tc>
          <w:tcPr>
            <w:tcW w:w="1316" w:type="pct"/>
            <w:tcBorders>
              <w:bottom w:val="nil"/>
            </w:tcBorders>
          </w:tcPr>
          <w:p w:rsidR="007D41BA" w:rsidRPr="00FF1004" w:rsidRDefault="007D41BA" w:rsidP="007D41BA">
            <w:pPr>
              <w:spacing w:after="0"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Asymptomatic 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139 (64.1)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109 (63.7)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30 62.5)</w:t>
            </w:r>
          </w:p>
        </w:tc>
        <w:tc>
          <w:tcPr>
            <w:tcW w:w="412" w:type="pct"/>
            <w:vMerge w:val="restar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6 (54.5)</w:t>
            </w:r>
          </w:p>
        </w:tc>
        <w:tc>
          <w:tcPr>
            <w:tcW w:w="584" w:type="pc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133 (64.6)</w:t>
            </w:r>
          </w:p>
        </w:tc>
        <w:tc>
          <w:tcPr>
            <w:tcW w:w="353" w:type="pct"/>
            <w:vMerge w:val="restart"/>
            <w:tcBorders>
              <w:bottom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0.53</w:t>
            </w:r>
          </w:p>
        </w:tc>
      </w:tr>
      <w:tr w:rsidR="007D41BA" w:rsidRPr="00FF1004" w:rsidTr="00702EB0">
        <w:tc>
          <w:tcPr>
            <w:tcW w:w="1316" w:type="pct"/>
            <w:tcBorders>
              <w:top w:val="nil"/>
            </w:tcBorders>
          </w:tcPr>
          <w:p w:rsidR="007D41BA" w:rsidRPr="00FF1004" w:rsidRDefault="007D41BA" w:rsidP="007D41BA">
            <w:pPr>
              <w:spacing w:after="0"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Rhinitis 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78 (35.9)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62 (35.7)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fr-FR"/>
              </w:rPr>
              <w:t>16 (34.8)</w:t>
            </w:r>
          </w:p>
        </w:tc>
        <w:tc>
          <w:tcPr>
            <w:tcW w:w="412" w:type="pct"/>
            <w:vMerge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5 (45.5)</w:t>
            </w:r>
          </w:p>
        </w:tc>
        <w:tc>
          <w:tcPr>
            <w:tcW w:w="584" w:type="pct"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1004">
              <w:rPr>
                <w:rFonts w:ascii="Times New Roman" w:hAnsi="Times New Roman"/>
                <w:sz w:val="24"/>
                <w:szCs w:val="24"/>
                <w:lang w:val="en-GB"/>
              </w:rPr>
              <w:t>73 (35.4)</w:t>
            </w:r>
          </w:p>
        </w:tc>
        <w:tc>
          <w:tcPr>
            <w:tcW w:w="353" w:type="pct"/>
            <w:vMerge/>
            <w:tcBorders>
              <w:top w:val="nil"/>
            </w:tcBorders>
            <w:vAlign w:val="center"/>
          </w:tcPr>
          <w:p w:rsidR="007D41BA" w:rsidRPr="00FF1004" w:rsidRDefault="007D41BA" w:rsidP="007D41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7971FD" w:rsidRPr="00FF1004" w:rsidRDefault="007D41BA" w:rsidP="007D41BA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FF1004">
        <w:rPr>
          <w:rFonts w:ascii="Times New Roman" w:hAnsi="Times New Roman"/>
          <w:sz w:val="24"/>
          <w:szCs w:val="24"/>
          <w:lang w:val="en-GB"/>
        </w:rPr>
        <w:lastRenderedPageBreak/>
        <w:br/>
        <w:t xml:space="preserve">2-ped group, group of children included by 2 </w:t>
      </w:r>
      <w:r w:rsidR="00FF1004" w:rsidRPr="00FF1004">
        <w:rPr>
          <w:rFonts w:ascii="Times New Roman" w:hAnsi="Times New Roman"/>
          <w:sz w:val="24"/>
          <w:szCs w:val="24"/>
          <w:lang w:val="en-GB"/>
        </w:rPr>
        <w:t>paediatricians</w:t>
      </w:r>
      <w:r w:rsidRPr="00FF1004">
        <w:rPr>
          <w:rFonts w:ascii="Times New Roman" w:hAnsi="Times New Roman"/>
          <w:sz w:val="24"/>
          <w:szCs w:val="24"/>
          <w:lang w:val="en-GB"/>
        </w:rPr>
        <w:t xml:space="preserve">; 7-ped group, group of children included by the 7 other </w:t>
      </w:r>
      <w:r w:rsidR="00FF1004" w:rsidRPr="00FF1004">
        <w:rPr>
          <w:rFonts w:ascii="Times New Roman" w:hAnsi="Times New Roman"/>
          <w:sz w:val="24"/>
          <w:szCs w:val="24"/>
          <w:lang w:val="en-GB"/>
        </w:rPr>
        <w:t>paediatricians</w:t>
      </w:r>
      <w:r w:rsidRPr="00FF1004">
        <w:rPr>
          <w:rFonts w:ascii="Times New Roman" w:hAnsi="Times New Roman"/>
          <w:sz w:val="24"/>
          <w:szCs w:val="24"/>
          <w:lang w:val="en-GB"/>
        </w:rPr>
        <w:br/>
        <w:t xml:space="preserve">a, results are presented pooled for children cared for at home with their parents or with a nurse; </w:t>
      </w:r>
      <w:r w:rsidRPr="00FF1004">
        <w:rPr>
          <w:rFonts w:ascii="Times New Roman" w:hAnsi="Times New Roman"/>
          <w:sz w:val="24"/>
          <w:szCs w:val="24"/>
          <w:lang w:val="en-GB"/>
        </w:rPr>
        <w:br/>
        <w:t xml:space="preserve">b, results are presented pooled for children cared for out-of-home at day-care center or at kindergarten school; </w:t>
      </w:r>
      <w:r w:rsidRPr="00FF1004">
        <w:rPr>
          <w:rFonts w:ascii="Times New Roman" w:hAnsi="Times New Roman"/>
          <w:sz w:val="24"/>
          <w:szCs w:val="24"/>
          <w:lang w:val="en-GB"/>
        </w:rPr>
        <w:br/>
        <w:t xml:space="preserve">c, amoxicillin (n=29; 72.5%), oral cephalosporins (n=7; 15%), among them cefpodoxime (n=5; 12.5%), cefixime (n=1; 2.5%) and cefaclor (n=1; 2.5%), amoxicillin-clavulanate (n=2; 5%) and azithromycin (n=2; 5%); </w:t>
      </w:r>
      <w:r w:rsidRPr="00FF1004">
        <w:rPr>
          <w:rFonts w:ascii="Times New Roman" w:hAnsi="Times New Roman"/>
          <w:sz w:val="24"/>
          <w:szCs w:val="24"/>
          <w:lang w:val="en-GB"/>
        </w:rPr>
        <w:br/>
        <w:t>d, 1 asthma, 1 cleft lip and palate, 2 unspecified</w:t>
      </w:r>
    </w:p>
    <w:sectPr w:rsidR="007971FD" w:rsidRPr="00FF1004" w:rsidSect="007D4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09"/>
    <w:rsid w:val="001922A3"/>
    <w:rsid w:val="00523661"/>
    <w:rsid w:val="006F397A"/>
    <w:rsid w:val="007971FD"/>
    <w:rsid w:val="007D41BA"/>
    <w:rsid w:val="008B1E65"/>
    <w:rsid w:val="00A43C0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BASMACI Romain</dc:creator>
  <cp:lastModifiedBy>BASMACI Romain</cp:lastModifiedBy>
  <cp:revision>3</cp:revision>
  <dcterms:created xsi:type="dcterms:W3CDTF">2018-07-06T13:54:00Z</dcterms:created>
  <dcterms:modified xsi:type="dcterms:W3CDTF">2018-07-06T17:00:00Z</dcterms:modified>
</cp:coreProperties>
</file>