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33EBF" w14:textId="473035A5" w:rsidR="004E2F97" w:rsidRDefault="00AD4D03">
      <w:pPr>
        <w:rPr>
          <w:lang w:val="en-GB"/>
        </w:rPr>
      </w:pPr>
      <w:r>
        <w:rPr>
          <w:lang w:val="en-GB"/>
        </w:rPr>
        <w:t>Ab</w:t>
      </w:r>
      <w:r w:rsidR="004E2F97">
        <w:rPr>
          <w:lang w:val="en-GB"/>
        </w:rPr>
        <w:t xml:space="preserve">dominal right isomerism with normal </w:t>
      </w:r>
      <w:proofErr w:type="spellStart"/>
      <w:r w:rsidR="004E2F97">
        <w:rPr>
          <w:lang w:val="en-GB"/>
        </w:rPr>
        <w:t>intracardiac</w:t>
      </w:r>
      <w:proofErr w:type="spellEnd"/>
      <w:r w:rsidR="004E2F97">
        <w:rPr>
          <w:lang w:val="en-GB"/>
        </w:rPr>
        <w:t xml:space="preserve"> anatomy in the fetus</w:t>
      </w:r>
    </w:p>
    <w:p w14:paraId="75745DE8" w14:textId="77777777" w:rsidR="004E2F97" w:rsidRDefault="004E2F97">
      <w:pPr>
        <w:rPr>
          <w:lang w:val="en-GB"/>
        </w:rPr>
      </w:pPr>
    </w:p>
    <w:p w14:paraId="189E2D95" w14:textId="77777777" w:rsidR="001C0738" w:rsidRDefault="001C0738">
      <w:pPr>
        <w:rPr>
          <w:lang w:val="en-GB"/>
        </w:rPr>
      </w:pPr>
    </w:p>
    <w:p w14:paraId="07477C55" w14:textId="1767E432" w:rsidR="001C0738" w:rsidRDefault="006B086B">
      <w:pPr>
        <w:rPr>
          <w:lang w:val="en-GB"/>
        </w:rPr>
      </w:pPr>
      <w:r>
        <w:rPr>
          <w:lang w:val="en-GB"/>
        </w:rPr>
        <w:t>Jowett V</w:t>
      </w:r>
      <w:r w:rsidR="00575438">
        <w:rPr>
          <w:lang w:val="en-GB"/>
        </w:rPr>
        <w:t xml:space="preserve">, </w:t>
      </w:r>
      <w:proofErr w:type="spellStart"/>
      <w:r w:rsidR="00575438">
        <w:rPr>
          <w:lang w:val="en-GB"/>
        </w:rPr>
        <w:t>Bartsota</w:t>
      </w:r>
      <w:proofErr w:type="spellEnd"/>
      <w:r w:rsidR="00575438">
        <w:rPr>
          <w:lang w:val="en-GB"/>
        </w:rPr>
        <w:t xml:space="preserve"> M, Carvalho JS</w:t>
      </w:r>
    </w:p>
    <w:p w14:paraId="5C797C21" w14:textId="77777777" w:rsidR="00575438" w:rsidRDefault="00575438">
      <w:pPr>
        <w:rPr>
          <w:lang w:val="en-GB"/>
        </w:rPr>
      </w:pPr>
    </w:p>
    <w:p w14:paraId="3B9BE11E" w14:textId="77777777" w:rsidR="00575438" w:rsidRDefault="00575438">
      <w:pPr>
        <w:rPr>
          <w:lang w:val="en-GB"/>
        </w:rPr>
      </w:pPr>
      <w:r>
        <w:rPr>
          <w:lang w:val="en-GB"/>
        </w:rPr>
        <w:t>Objectives</w:t>
      </w:r>
    </w:p>
    <w:p w14:paraId="46CFD0C5" w14:textId="02C61834" w:rsidR="00EB0B11" w:rsidRDefault="00EB0B11">
      <w:pPr>
        <w:rPr>
          <w:lang w:val="en-GB"/>
        </w:rPr>
      </w:pPr>
      <w:r>
        <w:rPr>
          <w:lang w:val="en-GB"/>
        </w:rPr>
        <w:t xml:space="preserve">In </w:t>
      </w:r>
      <w:r w:rsidR="00221B93">
        <w:rPr>
          <w:lang w:val="en-GB"/>
        </w:rPr>
        <w:t xml:space="preserve">the postnatal </w:t>
      </w:r>
      <w:r>
        <w:rPr>
          <w:lang w:val="en-GB"/>
        </w:rPr>
        <w:t>seque</w:t>
      </w:r>
      <w:r w:rsidR="006B086B">
        <w:rPr>
          <w:lang w:val="en-GB"/>
        </w:rPr>
        <w:t>ntial segmental dia</w:t>
      </w:r>
      <w:r w:rsidR="007E62CF">
        <w:rPr>
          <w:lang w:val="en-GB"/>
        </w:rPr>
        <w:t xml:space="preserve">gnosis of cardiac abnormalities, it has historically been recognised that </w:t>
      </w:r>
      <w:r>
        <w:rPr>
          <w:lang w:val="en-GB"/>
        </w:rPr>
        <w:t>atrial situ</w:t>
      </w:r>
      <w:r w:rsidR="007E62CF">
        <w:rPr>
          <w:lang w:val="en-GB"/>
        </w:rPr>
        <w:t>s usually</w:t>
      </w:r>
      <w:r w:rsidR="006B086B">
        <w:rPr>
          <w:lang w:val="en-GB"/>
        </w:rPr>
        <w:t xml:space="preserve"> follow</w:t>
      </w:r>
      <w:r w:rsidR="007E62CF">
        <w:rPr>
          <w:lang w:val="en-GB"/>
        </w:rPr>
        <w:t>s</w:t>
      </w:r>
      <w:r w:rsidR="006B086B">
        <w:rPr>
          <w:lang w:val="en-GB"/>
        </w:rPr>
        <w:t xml:space="preserve"> that of the abd</w:t>
      </w:r>
      <w:r>
        <w:rPr>
          <w:lang w:val="en-GB"/>
        </w:rPr>
        <w:t xml:space="preserve">ominal situs. </w:t>
      </w:r>
      <w:r w:rsidR="00382E65">
        <w:rPr>
          <w:lang w:val="en-GB"/>
        </w:rPr>
        <w:t>Recognition of abdominal right</w:t>
      </w:r>
      <w:r w:rsidR="00881A0B">
        <w:rPr>
          <w:lang w:val="en-GB"/>
        </w:rPr>
        <w:t xml:space="preserve"> isomerism</w:t>
      </w:r>
      <w:r w:rsidR="00382E65">
        <w:rPr>
          <w:lang w:val="en-GB"/>
        </w:rPr>
        <w:t xml:space="preserve"> (R</w:t>
      </w:r>
      <w:r w:rsidR="00CE5B17">
        <w:rPr>
          <w:lang w:val="en-GB"/>
        </w:rPr>
        <w:t>I</w:t>
      </w:r>
      <w:r w:rsidR="00382E65">
        <w:rPr>
          <w:lang w:val="en-GB"/>
        </w:rPr>
        <w:t>) or</w:t>
      </w:r>
      <w:r w:rsidR="00A55C3E">
        <w:rPr>
          <w:lang w:val="en-GB"/>
        </w:rPr>
        <w:t xml:space="preserve"> left isomerism </w:t>
      </w:r>
      <w:r w:rsidR="00382E65">
        <w:rPr>
          <w:lang w:val="en-GB"/>
        </w:rPr>
        <w:t>(L</w:t>
      </w:r>
      <w:r w:rsidR="00CE5B17">
        <w:rPr>
          <w:lang w:val="en-GB"/>
        </w:rPr>
        <w:t>I</w:t>
      </w:r>
      <w:r w:rsidR="00382E65">
        <w:rPr>
          <w:lang w:val="en-GB"/>
        </w:rPr>
        <w:t xml:space="preserve">) is </w:t>
      </w:r>
      <w:r w:rsidR="00A55C3E">
        <w:rPr>
          <w:lang w:val="en-GB"/>
        </w:rPr>
        <w:t xml:space="preserve">often associated with </w:t>
      </w:r>
      <w:r w:rsidR="00382E65">
        <w:rPr>
          <w:lang w:val="en-GB"/>
        </w:rPr>
        <w:t xml:space="preserve">complex </w:t>
      </w:r>
      <w:r w:rsidR="00A55C3E">
        <w:rPr>
          <w:lang w:val="en-GB"/>
        </w:rPr>
        <w:t>congenital heart disease</w:t>
      </w:r>
      <w:r w:rsidR="00382E65">
        <w:rPr>
          <w:lang w:val="en-GB"/>
        </w:rPr>
        <w:t xml:space="preserve"> (CHD</w:t>
      </w:r>
      <w:r w:rsidR="00881A0B">
        <w:rPr>
          <w:lang w:val="en-GB"/>
        </w:rPr>
        <w:t>)</w:t>
      </w:r>
      <w:r w:rsidR="00382E65">
        <w:rPr>
          <w:lang w:val="en-GB"/>
        </w:rPr>
        <w:t xml:space="preserve">. However, </w:t>
      </w:r>
      <w:r w:rsidR="00A6585E">
        <w:rPr>
          <w:lang w:val="en-GB"/>
        </w:rPr>
        <w:t xml:space="preserve">whilst </w:t>
      </w:r>
      <w:r w:rsidR="008506C4">
        <w:rPr>
          <w:lang w:val="en-GB"/>
        </w:rPr>
        <w:t>‘</w:t>
      </w:r>
      <w:r w:rsidR="00382E65">
        <w:rPr>
          <w:lang w:val="en-GB"/>
        </w:rPr>
        <w:t xml:space="preserve">less complex </w:t>
      </w:r>
      <w:r w:rsidR="00A6585E">
        <w:rPr>
          <w:lang w:val="en-GB"/>
        </w:rPr>
        <w:t xml:space="preserve">or minor </w:t>
      </w:r>
      <w:r w:rsidR="00382E65">
        <w:rPr>
          <w:lang w:val="en-GB"/>
        </w:rPr>
        <w:t>CHD</w:t>
      </w:r>
      <w:r w:rsidR="00A6585E">
        <w:rPr>
          <w:lang w:val="en-GB"/>
        </w:rPr>
        <w:t xml:space="preserve">’ and </w:t>
      </w:r>
      <w:r w:rsidR="008506C4">
        <w:rPr>
          <w:lang w:val="en-GB"/>
        </w:rPr>
        <w:t>‘normal heart</w:t>
      </w:r>
      <w:r w:rsidR="00A6585E">
        <w:rPr>
          <w:lang w:val="en-GB"/>
        </w:rPr>
        <w:t>s</w:t>
      </w:r>
      <w:r w:rsidR="008506C4">
        <w:rPr>
          <w:lang w:val="en-GB"/>
        </w:rPr>
        <w:t>’</w:t>
      </w:r>
      <w:r w:rsidR="00A6585E">
        <w:rPr>
          <w:lang w:val="en-GB"/>
        </w:rPr>
        <w:t xml:space="preserve"> have</w:t>
      </w:r>
      <w:r w:rsidR="00382E65">
        <w:rPr>
          <w:lang w:val="en-GB"/>
        </w:rPr>
        <w:t xml:space="preserve"> been reported with L</w:t>
      </w:r>
      <w:r w:rsidR="00CE5B17">
        <w:rPr>
          <w:lang w:val="en-GB"/>
        </w:rPr>
        <w:t>I</w:t>
      </w:r>
      <w:r w:rsidR="00382E65">
        <w:rPr>
          <w:lang w:val="en-GB"/>
        </w:rPr>
        <w:t xml:space="preserve">, </w:t>
      </w:r>
      <w:r w:rsidR="00A6585E">
        <w:rPr>
          <w:lang w:val="en-GB"/>
        </w:rPr>
        <w:t xml:space="preserve">the same has not been previously reported </w:t>
      </w:r>
      <w:r w:rsidR="00F03F60">
        <w:rPr>
          <w:lang w:val="en-GB"/>
        </w:rPr>
        <w:t xml:space="preserve">in the setting of </w:t>
      </w:r>
      <w:r w:rsidR="00A6585E">
        <w:rPr>
          <w:lang w:val="en-GB"/>
        </w:rPr>
        <w:t>abdominal R</w:t>
      </w:r>
      <w:r w:rsidR="00CE5B17">
        <w:rPr>
          <w:lang w:val="en-GB"/>
        </w:rPr>
        <w:t>I</w:t>
      </w:r>
      <w:r w:rsidR="00A6585E">
        <w:rPr>
          <w:lang w:val="en-GB"/>
        </w:rPr>
        <w:t xml:space="preserve">. </w:t>
      </w:r>
      <w:r>
        <w:rPr>
          <w:lang w:val="en-GB"/>
        </w:rPr>
        <w:t xml:space="preserve">We had </w:t>
      </w:r>
      <w:r w:rsidR="00835925">
        <w:rPr>
          <w:lang w:val="en-GB"/>
        </w:rPr>
        <w:t xml:space="preserve">identified </w:t>
      </w:r>
      <w:r>
        <w:rPr>
          <w:lang w:val="en-GB"/>
        </w:rPr>
        <w:t xml:space="preserve">a number of </w:t>
      </w:r>
      <w:r w:rsidR="00F03F60">
        <w:rPr>
          <w:lang w:val="en-GB"/>
        </w:rPr>
        <w:t xml:space="preserve">such </w:t>
      </w:r>
      <w:r>
        <w:rPr>
          <w:lang w:val="en-GB"/>
        </w:rPr>
        <w:t xml:space="preserve">cases </w:t>
      </w:r>
      <w:r w:rsidR="00F03F60">
        <w:rPr>
          <w:lang w:val="en-GB"/>
        </w:rPr>
        <w:t xml:space="preserve">in our fetal practice </w:t>
      </w:r>
      <w:r>
        <w:rPr>
          <w:lang w:val="en-GB"/>
        </w:rPr>
        <w:t>and therefore sought</w:t>
      </w:r>
      <w:r w:rsidR="00C2529A">
        <w:rPr>
          <w:lang w:val="en-GB"/>
        </w:rPr>
        <w:t xml:space="preserve"> to</w:t>
      </w:r>
      <w:r>
        <w:rPr>
          <w:lang w:val="en-GB"/>
        </w:rPr>
        <w:t xml:space="preserve"> </w:t>
      </w:r>
      <w:r w:rsidR="00001DE4">
        <w:rPr>
          <w:lang w:val="en-GB"/>
        </w:rPr>
        <w:t>clarify the</w:t>
      </w:r>
      <w:r w:rsidR="00F03F60">
        <w:rPr>
          <w:lang w:val="en-GB"/>
        </w:rPr>
        <w:t>ir</w:t>
      </w:r>
      <w:r w:rsidR="00001DE4">
        <w:rPr>
          <w:lang w:val="en-GB"/>
        </w:rPr>
        <w:t xml:space="preserve"> features</w:t>
      </w:r>
      <w:r w:rsidR="00F03F60">
        <w:rPr>
          <w:lang w:val="en-GB"/>
        </w:rPr>
        <w:t>.</w:t>
      </w:r>
    </w:p>
    <w:p w14:paraId="2D88EBE3" w14:textId="77777777" w:rsidR="00EB0B11" w:rsidRDefault="00EB0B11">
      <w:pPr>
        <w:rPr>
          <w:lang w:val="en-GB"/>
        </w:rPr>
      </w:pPr>
    </w:p>
    <w:p w14:paraId="78CE2087" w14:textId="77777777" w:rsidR="00575438" w:rsidRDefault="00575438">
      <w:pPr>
        <w:rPr>
          <w:lang w:val="en-GB"/>
        </w:rPr>
      </w:pPr>
      <w:r>
        <w:rPr>
          <w:lang w:val="en-GB"/>
        </w:rPr>
        <w:t>Methods</w:t>
      </w:r>
    </w:p>
    <w:p w14:paraId="16C2DCAC" w14:textId="341B8153" w:rsidR="00575438" w:rsidRDefault="00575438">
      <w:pPr>
        <w:rPr>
          <w:lang w:val="en-GB"/>
        </w:rPr>
      </w:pPr>
      <w:r>
        <w:rPr>
          <w:lang w:val="en-GB"/>
        </w:rPr>
        <w:t xml:space="preserve">Patients were identified from the </w:t>
      </w:r>
      <w:r w:rsidR="00B303E0">
        <w:rPr>
          <w:lang w:val="en-GB"/>
        </w:rPr>
        <w:t xml:space="preserve">electronic </w:t>
      </w:r>
      <w:r w:rsidR="008C42C1">
        <w:rPr>
          <w:lang w:val="en-GB"/>
        </w:rPr>
        <w:t>database</w:t>
      </w:r>
      <w:r w:rsidR="00F03F60">
        <w:rPr>
          <w:lang w:val="en-GB"/>
        </w:rPr>
        <w:t>s</w:t>
      </w:r>
      <w:r w:rsidR="00F03F60" w:rsidRPr="00F03F60">
        <w:rPr>
          <w:lang w:val="en-GB"/>
        </w:rPr>
        <w:t xml:space="preserve"> </w:t>
      </w:r>
      <w:r w:rsidR="00F03F60">
        <w:rPr>
          <w:lang w:val="en-GB"/>
        </w:rPr>
        <w:t>in our tertiary fetal cardiac service</w:t>
      </w:r>
      <w:r w:rsidR="00FF20D0">
        <w:rPr>
          <w:lang w:val="en-GB"/>
        </w:rPr>
        <w:t xml:space="preserve"> comprising three </w:t>
      </w:r>
      <w:r w:rsidR="00041837">
        <w:rPr>
          <w:lang w:val="en-GB"/>
        </w:rPr>
        <w:t>fetal cardiology</w:t>
      </w:r>
      <w:r w:rsidR="000C015B">
        <w:rPr>
          <w:lang w:val="en-GB"/>
        </w:rPr>
        <w:t xml:space="preserve"> units</w:t>
      </w:r>
      <w:r>
        <w:rPr>
          <w:lang w:val="en-GB"/>
        </w:rPr>
        <w:t xml:space="preserve">. </w:t>
      </w:r>
      <w:r w:rsidR="00022E30">
        <w:rPr>
          <w:lang w:val="en-GB"/>
        </w:rPr>
        <w:t>Prenatal echo reports</w:t>
      </w:r>
      <w:r w:rsidR="00160948">
        <w:rPr>
          <w:lang w:val="en-GB"/>
        </w:rPr>
        <w:t xml:space="preserve"> and </w:t>
      </w:r>
      <w:r w:rsidR="00022E30">
        <w:rPr>
          <w:lang w:val="en-GB"/>
        </w:rPr>
        <w:t>postnatal reports were reviewed.</w:t>
      </w:r>
    </w:p>
    <w:p w14:paraId="4C986F40" w14:textId="77777777" w:rsidR="00575438" w:rsidRDefault="00575438">
      <w:pPr>
        <w:rPr>
          <w:lang w:val="en-GB"/>
        </w:rPr>
      </w:pPr>
    </w:p>
    <w:p w14:paraId="0EF0D002" w14:textId="77777777" w:rsidR="00575438" w:rsidRDefault="00575438">
      <w:pPr>
        <w:rPr>
          <w:lang w:val="en-GB"/>
        </w:rPr>
      </w:pPr>
      <w:r>
        <w:rPr>
          <w:lang w:val="en-GB"/>
        </w:rPr>
        <w:t>Results</w:t>
      </w:r>
    </w:p>
    <w:p w14:paraId="47688377" w14:textId="52E315EA" w:rsidR="00575438" w:rsidRDefault="00FF20D0">
      <w:pPr>
        <w:rPr>
          <w:lang w:val="en-GB"/>
        </w:rPr>
      </w:pPr>
      <w:r>
        <w:rPr>
          <w:lang w:val="en-GB"/>
        </w:rPr>
        <w:t xml:space="preserve">Six </w:t>
      </w:r>
      <w:r w:rsidR="00575438">
        <w:rPr>
          <w:lang w:val="en-GB"/>
        </w:rPr>
        <w:t xml:space="preserve">cases </w:t>
      </w:r>
      <w:r>
        <w:rPr>
          <w:lang w:val="en-GB"/>
        </w:rPr>
        <w:t xml:space="preserve">of </w:t>
      </w:r>
      <w:r w:rsidR="00C97606">
        <w:rPr>
          <w:lang w:val="en-GB"/>
        </w:rPr>
        <w:t xml:space="preserve">abdominal </w:t>
      </w:r>
      <w:r>
        <w:rPr>
          <w:lang w:val="en-GB"/>
        </w:rPr>
        <w:t>R</w:t>
      </w:r>
      <w:r w:rsidR="00CE5B17">
        <w:rPr>
          <w:lang w:val="en-GB"/>
        </w:rPr>
        <w:t>I</w:t>
      </w:r>
      <w:r>
        <w:rPr>
          <w:lang w:val="en-GB"/>
        </w:rPr>
        <w:t xml:space="preserve"> without complex CHD </w:t>
      </w:r>
      <w:r w:rsidR="00C97606">
        <w:rPr>
          <w:lang w:val="en-GB"/>
        </w:rPr>
        <w:t xml:space="preserve">were identified. </w:t>
      </w:r>
      <w:r w:rsidR="000718C2">
        <w:rPr>
          <w:lang w:val="en-GB"/>
        </w:rPr>
        <w:t xml:space="preserve"> </w:t>
      </w:r>
      <w:r w:rsidR="00C46E0A">
        <w:rPr>
          <w:lang w:val="en-GB"/>
        </w:rPr>
        <w:t xml:space="preserve">Gestational age at diagnosis </w:t>
      </w:r>
      <w:r w:rsidR="003770C3">
        <w:rPr>
          <w:lang w:val="en-GB"/>
        </w:rPr>
        <w:t>ranged from 18</w:t>
      </w:r>
      <w:r w:rsidR="00511879">
        <w:rPr>
          <w:lang w:val="en-GB"/>
        </w:rPr>
        <w:t>+0</w:t>
      </w:r>
      <w:r w:rsidR="003770C3">
        <w:rPr>
          <w:lang w:val="en-GB"/>
        </w:rPr>
        <w:t xml:space="preserve"> to 23+1 weeks gestation.</w:t>
      </w:r>
      <w:r w:rsidR="00C46E0A">
        <w:rPr>
          <w:lang w:val="en-GB"/>
        </w:rPr>
        <w:t xml:space="preserve"> F</w:t>
      </w:r>
      <w:r w:rsidR="00D4433F">
        <w:rPr>
          <w:lang w:val="en-GB"/>
        </w:rPr>
        <w:t xml:space="preserve">our cases </w:t>
      </w:r>
      <w:r w:rsidR="00C46E0A">
        <w:rPr>
          <w:lang w:val="en-GB"/>
        </w:rPr>
        <w:t>were livebirths; one pregnancy was terminated</w:t>
      </w:r>
      <w:r w:rsidR="00D4433F">
        <w:rPr>
          <w:lang w:val="en-GB"/>
        </w:rPr>
        <w:t xml:space="preserve"> and one lost to follow up</w:t>
      </w:r>
      <w:r w:rsidR="00C46E0A">
        <w:rPr>
          <w:lang w:val="en-GB"/>
        </w:rPr>
        <w:t xml:space="preserve">. </w:t>
      </w:r>
      <w:r w:rsidR="000718C2">
        <w:rPr>
          <w:lang w:val="en-GB"/>
        </w:rPr>
        <w:t xml:space="preserve">The stomach was right sided with </w:t>
      </w:r>
      <w:proofErr w:type="spellStart"/>
      <w:r w:rsidR="00D4433F">
        <w:rPr>
          <w:lang w:val="en-GB"/>
        </w:rPr>
        <w:t>levocardia</w:t>
      </w:r>
      <w:proofErr w:type="spellEnd"/>
      <w:r w:rsidR="000718C2">
        <w:rPr>
          <w:lang w:val="en-GB"/>
        </w:rPr>
        <w:t xml:space="preserve"> </w:t>
      </w:r>
      <w:r w:rsidR="00D4433F">
        <w:rPr>
          <w:lang w:val="en-GB"/>
        </w:rPr>
        <w:t xml:space="preserve">and apex </w:t>
      </w:r>
      <w:r w:rsidR="000718C2">
        <w:rPr>
          <w:lang w:val="en-GB"/>
        </w:rPr>
        <w:t xml:space="preserve">to the left in 5 cases and the stomach left sided with </w:t>
      </w:r>
      <w:proofErr w:type="spellStart"/>
      <w:r w:rsidR="00D4433F">
        <w:rPr>
          <w:lang w:val="en-GB"/>
        </w:rPr>
        <w:t>dextrocardia</w:t>
      </w:r>
      <w:proofErr w:type="spellEnd"/>
      <w:r w:rsidR="00D4433F">
        <w:rPr>
          <w:lang w:val="en-GB"/>
        </w:rPr>
        <w:t xml:space="preserve"> and </w:t>
      </w:r>
      <w:r w:rsidR="000718C2">
        <w:rPr>
          <w:lang w:val="en-GB"/>
        </w:rPr>
        <w:t>apex to the right in 1 case.</w:t>
      </w:r>
    </w:p>
    <w:p w14:paraId="5E924A3F" w14:textId="77777777" w:rsidR="00FF20D0" w:rsidRDefault="00FF20D0">
      <w:pPr>
        <w:rPr>
          <w:lang w:val="en-GB"/>
        </w:rPr>
      </w:pPr>
    </w:p>
    <w:p w14:paraId="08BE6AD7" w14:textId="4674EABC" w:rsidR="00DC00DF" w:rsidRDefault="00BC5B56">
      <w:pPr>
        <w:rPr>
          <w:lang w:val="en-GB"/>
        </w:rPr>
      </w:pPr>
      <w:r>
        <w:rPr>
          <w:lang w:val="en-GB"/>
        </w:rPr>
        <w:t xml:space="preserve">The position of the aorta and </w:t>
      </w:r>
      <w:r w:rsidR="00511879">
        <w:rPr>
          <w:lang w:val="en-GB"/>
        </w:rPr>
        <w:t>inferior vena caca (</w:t>
      </w:r>
      <w:r>
        <w:rPr>
          <w:lang w:val="en-GB"/>
        </w:rPr>
        <w:t>IVC</w:t>
      </w:r>
      <w:r w:rsidR="00511879">
        <w:rPr>
          <w:lang w:val="en-GB"/>
        </w:rPr>
        <w:t>)</w:t>
      </w:r>
      <w:r>
        <w:rPr>
          <w:lang w:val="en-GB"/>
        </w:rPr>
        <w:t xml:space="preserve"> is</w:t>
      </w:r>
      <w:r w:rsidR="00AE122B">
        <w:rPr>
          <w:lang w:val="en-GB"/>
        </w:rPr>
        <w:t xml:space="preserve"> summarised in table </w:t>
      </w:r>
      <w:r w:rsidR="001C7A42">
        <w:rPr>
          <w:lang w:val="en-GB"/>
        </w:rPr>
        <w:t>1:</w:t>
      </w:r>
    </w:p>
    <w:p w14:paraId="654452F4" w14:textId="77777777" w:rsidR="00DC00DF" w:rsidRDefault="00DC00D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1269"/>
        <w:gridCol w:w="1342"/>
        <w:gridCol w:w="1208"/>
        <w:gridCol w:w="1516"/>
        <w:gridCol w:w="1449"/>
      </w:tblGrid>
      <w:tr w:rsidR="004E2F97" w14:paraId="034892B1" w14:textId="77777777" w:rsidTr="004E2F97">
        <w:tc>
          <w:tcPr>
            <w:tcW w:w="760" w:type="dxa"/>
          </w:tcPr>
          <w:p w14:paraId="243E812D" w14:textId="040B6B0E" w:rsidR="00FF20D0" w:rsidRDefault="00FF20D0">
            <w:pPr>
              <w:rPr>
                <w:lang w:val="en-GB"/>
              </w:rPr>
            </w:pPr>
            <w:r>
              <w:rPr>
                <w:lang w:val="en-GB"/>
              </w:rPr>
              <w:t>Case</w:t>
            </w:r>
          </w:p>
        </w:tc>
        <w:tc>
          <w:tcPr>
            <w:tcW w:w="1269" w:type="dxa"/>
          </w:tcPr>
          <w:p w14:paraId="0CEE5B91" w14:textId="5459424E" w:rsidR="00FF20D0" w:rsidRDefault="00FF20D0" w:rsidP="0026733A">
            <w:pPr>
              <w:rPr>
                <w:lang w:val="en-GB"/>
              </w:rPr>
            </w:pPr>
            <w:r>
              <w:rPr>
                <w:lang w:val="en-GB"/>
              </w:rPr>
              <w:t>Position of stomach</w:t>
            </w:r>
          </w:p>
        </w:tc>
        <w:tc>
          <w:tcPr>
            <w:tcW w:w="1342" w:type="dxa"/>
          </w:tcPr>
          <w:p w14:paraId="2F3B7057" w14:textId="7F51928F" w:rsidR="00FF20D0" w:rsidRDefault="00FF20D0">
            <w:pPr>
              <w:rPr>
                <w:lang w:val="en-GB"/>
              </w:rPr>
            </w:pPr>
            <w:r>
              <w:rPr>
                <w:lang w:val="en-GB"/>
              </w:rPr>
              <w:t>Position of aorta</w:t>
            </w:r>
          </w:p>
        </w:tc>
        <w:tc>
          <w:tcPr>
            <w:tcW w:w="1208" w:type="dxa"/>
          </w:tcPr>
          <w:p w14:paraId="165188F5" w14:textId="77706B30" w:rsidR="00FF20D0" w:rsidRDefault="00FF20D0">
            <w:pPr>
              <w:rPr>
                <w:lang w:val="en-GB"/>
              </w:rPr>
            </w:pPr>
            <w:r>
              <w:rPr>
                <w:lang w:val="en-GB"/>
              </w:rPr>
              <w:t>Position of IVC</w:t>
            </w:r>
          </w:p>
        </w:tc>
        <w:tc>
          <w:tcPr>
            <w:tcW w:w="1516" w:type="dxa"/>
          </w:tcPr>
          <w:p w14:paraId="39464241" w14:textId="1C6378A2" w:rsidR="00FF20D0" w:rsidRDefault="00FF20D0">
            <w:pPr>
              <w:rPr>
                <w:lang w:val="en-GB"/>
              </w:rPr>
            </w:pPr>
            <w:r>
              <w:rPr>
                <w:lang w:val="en-GB"/>
              </w:rPr>
              <w:t>Position of heart</w:t>
            </w:r>
          </w:p>
        </w:tc>
        <w:tc>
          <w:tcPr>
            <w:tcW w:w="1449" w:type="dxa"/>
          </w:tcPr>
          <w:p w14:paraId="0860DF3B" w14:textId="4394A9E3" w:rsidR="00FF20D0" w:rsidRDefault="00FF20D0">
            <w:pPr>
              <w:rPr>
                <w:lang w:val="en-GB"/>
              </w:rPr>
            </w:pPr>
            <w:r>
              <w:rPr>
                <w:lang w:val="en-GB"/>
              </w:rPr>
              <w:t xml:space="preserve">Position of </w:t>
            </w:r>
          </w:p>
          <w:p w14:paraId="50FFE031" w14:textId="3DAC9D3D" w:rsidR="00FF20D0" w:rsidRDefault="00FF20D0">
            <w:pPr>
              <w:rPr>
                <w:lang w:val="en-GB"/>
              </w:rPr>
            </w:pPr>
            <w:r>
              <w:rPr>
                <w:lang w:val="en-GB"/>
              </w:rPr>
              <w:t>Apex</w:t>
            </w:r>
          </w:p>
        </w:tc>
      </w:tr>
      <w:tr w:rsidR="004E2F97" w14:paraId="7E193D22" w14:textId="77777777" w:rsidTr="004E2F97">
        <w:tc>
          <w:tcPr>
            <w:tcW w:w="760" w:type="dxa"/>
          </w:tcPr>
          <w:p w14:paraId="12305071" w14:textId="516E210C" w:rsidR="00FF20D0" w:rsidRDefault="00FF20D0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69" w:type="dxa"/>
          </w:tcPr>
          <w:p w14:paraId="628AC51C" w14:textId="47063806" w:rsidR="00FF20D0" w:rsidRDefault="00FF20D0" w:rsidP="0026733A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1342" w:type="dxa"/>
          </w:tcPr>
          <w:p w14:paraId="00B8ADA6" w14:textId="5AD1EF64" w:rsidR="00FF20D0" w:rsidRDefault="00FF20D0">
            <w:pPr>
              <w:rPr>
                <w:lang w:val="en-GB"/>
              </w:rPr>
            </w:pPr>
            <w:r>
              <w:rPr>
                <w:lang w:val="en-GB"/>
              </w:rPr>
              <w:t>Midline</w:t>
            </w:r>
          </w:p>
        </w:tc>
        <w:tc>
          <w:tcPr>
            <w:tcW w:w="1208" w:type="dxa"/>
          </w:tcPr>
          <w:p w14:paraId="47EA710D" w14:textId="27B01BE5" w:rsidR="00FF20D0" w:rsidRDefault="00FF20D0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1516" w:type="dxa"/>
          </w:tcPr>
          <w:p w14:paraId="630830A5" w14:textId="5A9A5741" w:rsidR="00FF20D0" w:rsidRDefault="00BD787A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  <w:tc>
          <w:tcPr>
            <w:tcW w:w="1449" w:type="dxa"/>
          </w:tcPr>
          <w:p w14:paraId="07FFDEF6" w14:textId="57689AD1" w:rsidR="00FF20D0" w:rsidRDefault="00FF20D0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</w:tr>
      <w:tr w:rsidR="004E2F97" w14:paraId="07219F0E" w14:textId="77777777" w:rsidTr="004E2F97">
        <w:trPr>
          <w:trHeight w:val="324"/>
        </w:trPr>
        <w:tc>
          <w:tcPr>
            <w:tcW w:w="760" w:type="dxa"/>
          </w:tcPr>
          <w:p w14:paraId="294B4347" w14:textId="08F69DBB" w:rsidR="00FF20D0" w:rsidRDefault="00FF20D0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69" w:type="dxa"/>
          </w:tcPr>
          <w:p w14:paraId="4760D36F" w14:textId="716849D5" w:rsidR="00FF20D0" w:rsidRDefault="00FF20D0" w:rsidP="0026733A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1342" w:type="dxa"/>
          </w:tcPr>
          <w:p w14:paraId="689C1E97" w14:textId="3FF7EBE0" w:rsidR="00FF20D0" w:rsidRDefault="00FF20D0">
            <w:pPr>
              <w:rPr>
                <w:lang w:val="en-GB"/>
              </w:rPr>
            </w:pPr>
            <w:r>
              <w:rPr>
                <w:lang w:val="en-GB"/>
              </w:rPr>
              <w:t>Midline/R</w:t>
            </w:r>
          </w:p>
        </w:tc>
        <w:tc>
          <w:tcPr>
            <w:tcW w:w="1208" w:type="dxa"/>
          </w:tcPr>
          <w:p w14:paraId="484E7BD1" w14:textId="28041662" w:rsidR="00FF20D0" w:rsidRDefault="00FF20D0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1516" w:type="dxa"/>
          </w:tcPr>
          <w:p w14:paraId="2BB9DC37" w14:textId="6E1244E2" w:rsidR="00FF20D0" w:rsidRDefault="00BD787A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  <w:tc>
          <w:tcPr>
            <w:tcW w:w="1449" w:type="dxa"/>
          </w:tcPr>
          <w:p w14:paraId="05F0EF86" w14:textId="4C3F1949" w:rsidR="00FF20D0" w:rsidRDefault="00FF20D0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</w:tr>
      <w:tr w:rsidR="004E2F97" w14:paraId="282AB72F" w14:textId="77777777" w:rsidTr="004E2F97">
        <w:tc>
          <w:tcPr>
            <w:tcW w:w="760" w:type="dxa"/>
          </w:tcPr>
          <w:p w14:paraId="2FDF987B" w14:textId="780DD6A3" w:rsidR="00FF20D0" w:rsidRDefault="00FF20D0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269" w:type="dxa"/>
          </w:tcPr>
          <w:p w14:paraId="2FE96999" w14:textId="0AC1E2A9" w:rsidR="00FF20D0" w:rsidRDefault="00FF20D0" w:rsidP="0026733A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1342" w:type="dxa"/>
          </w:tcPr>
          <w:p w14:paraId="2884CDED" w14:textId="49A52517" w:rsidR="00FF20D0" w:rsidRDefault="00FF20D0">
            <w:pPr>
              <w:rPr>
                <w:lang w:val="en-GB"/>
              </w:rPr>
            </w:pPr>
            <w:r>
              <w:rPr>
                <w:lang w:val="en-GB"/>
              </w:rPr>
              <w:t>Midline/R</w:t>
            </w:r>
          </w:p>
        </w:tc>
        <w:tc>
          <w:tcPr>
            <w:tcW w:w="1208" w:type="dxa"/>
          </w:tcPr>
          <w:p w14:paraId="09DCD18C" w14:textId="29116322" w:rsidR="00FF20D0" w:rsidRDefault="00FF20D0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1516" w:type="dxa"/>
          </w:tcPr>
          <w:p w14:paraId="3EC278B3" w14:textId="20CCDB93" w:rsidR="00FF20D0" w:rsidRDefault="00BD787A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  <w:tc>
          <w:tcPr>
            <w:tcW w:w="1449" w:type="dxa"/>
          </w:tcPr>
          <w:p w14:paraId="775F902B" w14:textId="1441E387" w:rsidR="00FF20D0" w:rsidRDefault="00FF20D0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</w:tr>
      <w:tr w:rsidR="004E2F97" w14:paraId="30B5DF0A" w14:textId="77777777" w:rsidTr="004E2F97">
        <w:tc>
          <w:tcPr>
            <w:tcW w:w="760" w:type="dxa"/>
          </w:tcPr>
          <w:p w14:paraId="09C25FC4" w14:textId="45F024E6" w:rsidR="00FF20D0" w:rsidRDefault="00FF20D0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69" w:type="dxa"/>
          </w:tcPr>
          <w:p w14:paraId="00E0A5F1" w14:textId="37D68F17" w:rsidR="00FF20D0" w:rsidRDefault="00FF20D0" w:rsidP="0026733A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1342" w:type="dxa"/>
          </w:tcPr>
          <w:p w14:paraId="454AC9D2" w14:textId="48FE730D" w:rsidR="00FF20D0" w:rsidRDefault="00FF20D0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  <w:tc>
          <w:tcPr>
            <w:tcW w:w="1208" w:type="dxa"/>
          </w:tcPr>
          <w:p w14:paraId="612D4AC4" w14:textId="71873ED3" w:rsidR="00FF20D0" w:rsidRDefault="00FF20D0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  <w:tc>
          <w:tcPr>
            <w:tcW w:w="1516" w:type="dxa"/>
          </w:tcPr>
          <w:p w14:paraId="3F0E574F" w14:textId="11938F0F" w:rsidR="00FF20D0" w:rsidRDefault="00BD787A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  <w:tc>
          <w:tcPr>
            <w:tcW w:w="1449" w:type="dxa"/>
          </w:tcPr>
          <w:p w14:paraId="219A1F77" w14:textId="459D4FE1" w:rsidR="00FF20D0" w:rsidRDefault="00FF20D0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</w:tr>
      <w:tr w:rsidR="004E2F97" w14:paraId="1B96788E" w14:textId="77777777" w:rsidTr="004E2F97">
        <w:tc>
          <w:tcPr>
            <w:tcW w:w="760" w:type="dxa"/>
          </w:tcPr>
          <w:p w14:paraId="4C3A4F0F" w14:textId="28C464CC" w:rsidR="00FF20D0" w:rsidRDefault="00FF20D0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69" w:type="dxa"/>
          </w:tcPr>
          <w:p w14:paraId="73F7D6C6" w14:textId="7A1E0EDB" w:rsidR="00FF20D0" w:rsidRDefault="00FF20D0" w:rsidP="0026733A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  <w:tc>
          <w:tcPr>
            <w:tcW w:w="1342" w:type="dxa"/>
          </w:tcPr>
          <w:p w14:paraId="05F77274" w14:textId="2B5E2D7D" w:rsidR="00FF20D0" w:rsidRDefault="00FF20D0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1208" w:type="dxa"/>
          </w:tcPr>
          <w:p w14:paraId="00EE7DD2" w14:textId="456B1E8F" w:rsidR="00FF20D0" w:rsidRDefault="00FF20D0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1516" w:type="dxa"/>
          </w:tcPr>
          <w:p w14:paraId="1FD911BF" w14:textId="64E3E9BF" w:rsidR="00FF20D0" w:rsidRDefault="00BD787A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1449" w:type="dxa"/>
          </w:tcPr>
          <w:p w14:paraId="585DA52C" w14:textId="2438531C" w:rsidR="00FF20D0" w:rsidRDefault="00FF20D0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</w:tr>
      <w:tr w:rsidR="004E2F97" w14:paraId="3C0CC854" w14:textId="77777777" w:rsidTr="004E2F97">
        <w:tc>
          <w:tcPr>
            <w:tcW w:w="760" w:type="dxa"/>
          </w:tcPr>
          <w:p w14:paraId="769BB048" w14:textId="115BA667" w:rsidR="00FF20D0" w:rsidRDefault="00FF20D0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69" w:type="dxa"/>
          </w:tcPr>
          <w:p w14:paraId="4DC6AC0C" w14:textId="2D3BAB07" w:rsidR="00FF20D0" w:rsidRDefault="00FF20D0" w:rsidP="0026733A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1342" w:type="dxa"/>
          </w:tcPr>
          <w:p w14:paraId="59C325CB" w14:textId="71D4D362" w:rsidR="00FF20D0" w:rsidRDefault="00FF20D0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  <w:tc>
          <w:tcPr>
            <w:tcW w:w="1208" w:type="dxa"/>
          </w:tcPr>
          <w:p w14:paraId="2E8DC9FE" w14:textId="14A9840D" w:rsidR="00FF20D0" w:rsidRDefault="00FF20D0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  <w:tc>
          <w:tcPr>
            <w:tcW w:w="1516" w:type="dxa"/>
          </w:tcPr>
          <w:p w14:paraId="0E2429C7" w14:textId="168B202D" w:rsidR="00FF20D0" w:rsidRDefault="00BD787A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  <w:tc>
          <w:tcPr>
            <w:tcW w:w="1449" w:type="dxa"/>
          </w:tcPr>
          <w:p w14:paraId="108AE8AC" w14:textId="658A852E" w:rsidR="00FF20D0" w:rsidRDefault="00FF20D0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</w:tr>
    </w:tbl>
    <w:p w14:paraId="4E595B1F" w14:textId="6B0BEEA1" w:rsidR="001C7A42" w:rsidRDefault="001C7A42">
      <w:pPr>
        <w:rPr>
          <w:lang w:val="en-GB"/>
        </w:rPr>
      </w:pPr>
      <w:r>
        <w:rPr>
          <w:lang w:val="en-GB"/>
        </w:rPr>
        <w:t>Table 1: Ultrasound f</w:t>
      </w:r>
      <w:r w:rsidR="00FF20D0">
        <w:rPr>
          <w:lang w:val="en-GB"/>
        </w:rPr>
        <w:t>indings</w:t>
      </w:r>
      <w:r>
        <w:rPr>
          <w:lang w:val="en-GB"/>
        </w:rPr>
        <w:t xml:space="preserve"> of </w:t>
      </w:r>
      <w:r w:rsidR="00FF20D0">
        <w:rPr>
          <w:lang w:val="en-GB"/>
        </w:rPr>
        <w:t>six</w:t>
      </w:r>
      <w:r>
        <w:rPr>
          <w:lang w:val="en-GB"/>
        </w:rPr>
        <w:t xml:space="preserve"> fetuses with abdominal</w:t>
      </w:r>
      <w:r w:rsidR="00FF20D0">
        <w:rPr>
          <w:lang w:val="en-GB"/>
        </w:rPr>
        <w:t xml:space="preserve"> features of R</w:t>
      </w:r>
      <w:r w:rsidR="00CE5B17">
        <w:rPr>
          <w:lang w:val="en-GB"/>
        </w:rPr>
        <w:t>I</w:t>
      </w:r>
      <w:r>
        <w:rPr>
          <w:lang w:val="en-GB"/>
        </w:rPr>
        <w:t xml:space="preserve"> </w:t>
      </w:r>
    </w:p>
    <w:p w14:paraId="092F4079" w14:textId="6BD666C5" w:rsidR="00DC00DF" w:rsidRPr="001C7A42" w:rsidRDefault="001C7A42">
      <w:pPr>
        <w:rPr>
          <w:i/>
          <w:lang w:val="en-GB"/>
        </w:rPr>
      </w:pPr>
      <w:r w:rsidRPr="001C7A42">
        <w:rPr>
          <w:i/>
          <w:lang w:val="en-GB"/>
        </w:rPr>
        <w:t>Key: R=right, L=left</w:t>
      </w:r>
      <w:r w:rsidR="0045031C">
        <w:rPr>
          <w:i/>
          <w:lang w:val="en-GB"/>
        </w:rPr>
        <w:t>; IVC = inferior vena cava</w:t>
      </w:r>
    </w:p>
    <w:p w14:paraId="70E03B00" w14:textId="77777777" w:rsidR="00DC00DF" w:rsidRDefault="00DC00DF">
      <w:pPr>
        <w:rPr>
          <w:lang w:val="en-GB"/>
        </w:rPr>
      </w:pPr>
    </w:p>
    <w:p w14:paraId="49C8D978" w14:textId="025479DE" w:rsidR="00BC5B56" w:rsidRDefault="00BC5B56">
      <w:pPr>
        <w:rPr>
          <w:lang w:val="en-GB"/>
        </w:rPr>
      </w:pPr>
      <w:r>
        <w:rPr>
          <w:lang w:val="en-GB"/>
        </w:rPr>
        <w:t xml:space="preserve">All cases had biventricular </w:t>
      </w:r>
      <w:proofErr w:type="spellStart"/>
      <w:r w:rsidR="001C7A42">
        <w:rPr>
          <w:lang w:val="en-GB"/>
        </w:rPr>
        <w:t>atrio</w:t>
      </w:r>
      <w:proofErr w:type="spellEnd"/>
      <w:r w:rsidR="001C7A42">
        <w:rPr>
          <w:lang w:val="en-GB"/>
        </w:rPr>
        <w:t>-ventricular</w:t>
      </w:r>
      <w:r>
        <w:rPr>
          <w:lang w:val="en-GB"/>
        </w:rPr>
        <w:t xml:space="preserve"> connections</w:t>
      </w:r>
      <w:r w:rsidR="006B086B">
        <w:rPr>
          <w:lang w:val="en-GB"/>
        </w:rPr>
        <w:t xml:space="preserve">. There was right hand topology </w:t>
      </w:r>
      <w:r w:rsidR="001C7A42">
        <w:rPr>
          <w:lang w:val="en-GB"/>
        </w:rPr>
        <w:t>in the</w:t>
      </w:r>
      <w:r w:rsidR="006B086B">
        <w:rPr>
          <w:lang w:val="en-GB"/>
        </w:rPr>
        <w:t xml:space="preserve"> cases with </w:t>
      </w:r>
      <w:proofErr w:type="spellStart"/>
      <w:r w:rsidR="00BD787A">
        <w:rPr>
          <w:lang w:val="en-GB"/>
        </w:rPr>
        <w:t>laevocardia</w:t>
      </w:r>
      <w:proofErr w:type="spellEnd"/>
      <w:r w:rsidR="00BD787A">
        <w:rPr>
          <w:lang w:val="en-GB"/>
        </w:rPr>
        <w:t xml:space="preserve"> and </w:t>
      </w:r>
      <w:r w:rsidR="006B086B">
        <w:rPr>
          <w:lang w:val="en-GB"/>
        </w:rPr>
        <w:t>apex to the left and left hand top</w:t>
      </w:r>
      <w:r w:rsidR="00041837">
        <w:rPr>
          <w:lang w:val="en-GB"/>
        </w:rPr>
        <w:t>o</w:t>
      </w:r>
      <w:r w:rsidR="006B086B">
        <w:rPr>
          <w:lang w:val="en-GB"/>
        </w:rPr>
        <w:t xml:space="preserve">logy </w:t>
      </w:r>
      <w:r w:rsidR="001C7A42">
        <w:rPr>
          <w:lang w:val="en-GB"/>
        </w:rPr>
        <w:t>in</w:t>
      </w:r>
      <w:r w:rsidR="006B086B">
        <w:rPr>
          <w:lang w:val="en-GB"/>
        </w:rPr>
        <w:t xml:space="preserve"> the case with </w:t>
      </w:r>
      <w:proofErr w:type="spellStart"/>
      <w:proofErr w:type="gramStart"/>
      <w:r w:rsidR="00BD787A">
        <w:rPr>
          <w:lang w:val="en-GB"/>
        </w:rPr>
        <w:t>dextrocardia</w:t>
      </w:r>
      <w:proofErr w:type="spellEnd"/>
      <w:r w:rsidR="00BD787A">
        <w:rPr>
          <w:lang w:val="en-GB"/>
        </w:rPr>
        <w:t xml:space="preserve"> </w:t>
      </w:r>
      <w:r w:rsidR="004B5613">
        <w:rPr>
          <w:lang w:val="en-GB"/>
        </w:rPr>
        <w:t xml:space="preserve"> </w:t>
      </w:r>
      <w:r w:rsidR="00BD787A">
        <w:rPr>
          <w:lang w:val="en-GB"/>
        </w:rPr>
        <w:t>and</w:t>
      </w:r>
      <w:proofErr w:type="gramEnd"/>
      <w:r w:rsidR="004B5613">
        <w:rPr>
          <w:lang w:val="en-GB"/>
        </w:rPr>
        <w:t xml:space="preserve"> </w:t>
      </w:r>
      <w:r w:rsidR="006B086B">
        <w:rPr>
          <w:lang w:val="en-GB"/>
        </w:rPr>
        <w:t xml:space="preserve">apex to the right. </w:t>
      </w:r>
      <w:proofErr w:type="spellStart"/>
      <w:r w:rsidR="006B086B">
        <w:rPr>
          <w:lang w:val="en-GB"/>
        </w:rPr>
        <w:t>V</w:t>
      </w:r>
      <w:r>
        <w:rPr>
          <w:lang w:val="en-GB"/>
        </w:rPr>
        <w:t>entric</w:t>
      </w:r>
      <w:r w:rsidR="001C7A42">
        <w:rPr>
          <w:lang w:val="en-GB"/>
        </w:rPr>
        <w:t>ulo</w:t>
      </w:r>
      <w:proofErr w:type="spellEnd"/>
      <w:r w:rsidR="001C7A42">
        <w:rPr>
          <w:lang w:val="en-GB"/>
        </w:rPr>
        <w:t>-</w:t>
      </w:r>
      <w:r w:rsidR="006B086B">
        <w:rPr>
          <w:lang w:val="en-GB"/>
        </w:rPr>
        <w:t xml:space="preserve">arterial connections were concordant in all cases. </w:t>
      </w:r>
      <w:r>
        <w:rPr>
          <w:lang w:val="en-GB"/>
        </w:rPr>
        <w:t xml:space="preserve"> </w:t>
      </w:r>
      <w:r w:rsidR="00A254F2">
        <w:rPr>
          <w:lang w:val="en-GB"/>
        </w:rPr>
        <w:t xml:space="preserve">In four cases, no cardiac abnormalities were seen. </w:t>
      </w:r>
      <w:r w:rsidR="004B5613">
        <w:rPr>
          <w:lang w:val="en-GB"/>
        </w:rPr>
        <w:t>In t</w:t>
      </w:r>
      <w:r>
        <w:rPr>
          <w:lang w:val="en-GB"/>
        </w:rPr>
        <w:t xml:space="preserve">wo </w:t>
      </w:r>
      <w:r w:rsidR="004B5613">
        <w:rPr>
          <w:lang w:val="en-GB"/>
        </w:rPr>
        <w:t xml:space="preserve">cases, </w:t>
      </w:r>
      <w:r w:rsidR="001C7A42">
        <w:rPr>
          <w:lang w:val="en-GB"/>
        </w:rPr>
        <w:t>abnormalities</w:t>
      </w:r>
      <w:r w:rsidR="004B5613">
        <w:rPr>
          <w:lang w:val="en-GB"/>
        </w:rPr>
        <w:t xml:space="preserve"> of systemic venous return</w:t>
      </w:r>
      <w:r w:rsidR="001C7A42">
        <w:rPr>
          <w:lang w:val="en-GB"/>
        </w:rPr>
        <w:t xml:space="preserve"> were identified: </w:t>
      </w:r>
      <w:r>
        <w:rPr>
          <w:lang w:val="en-GB"/>
        </w:rPr>
        <w:t>One fetus had</w:t>
      </w:r>
      <w:r w:rsidR="00E85107">
        <w:rPr>
          <w:lang w:val="en-GB"/>
        </w:rPr>
        <w:t xml:space="preserve"> a</w:t>
      </w:r>
      <w:r w:rsidR="00511879">
        <w:rPr>
          <w:lang w:val="en-GB"/>
        </w:rPr>
        <w:t xml:space="preserve"> left superior vena cava</w:t>
      </w:r>
      <w:r w:rsidR="00BD787A">
        <w:rPr>
          <w:lang w:val="en-GB"/>
        </w:rPr>
        <w:t xml:space="preserve"> (SVC) </w:t>
      </w:r>
      <w:proofErr w:type="gramStart"/>
      <w:r w:rsidR="00BD787A">
        <w:rPr>
          <w:lang w:val="en-GB"/>
        </w:rPr>
        <w:t xml:space="preserve">and </w:t>
      </w:r>
      <w:r w:rsidR="00E85107">
        <w:rPr>
          <w:lang w:val="en-GB"/>
        </w:rPr>
        <w:t xml:space="preserve"> IVC</w:t>
      </w:r>
      <w:proofErr w:type="gramEnd"/>
      <w:r w:rsidR="00160948">
        <w:rPr>
          <w:lang w:val="en-GB"/>
        </w:rPr>
        <w:t xml:space="preserve"> </w:t>
      </w:r>
      <w:r>
        <w:rPr>
          <w:lang w:val="en-GB"/>
        </w:rPr>
        <w:t>draining to a dilated coronary</w:t>
      </w:r>
      <w:r w:rsidR="001C7A42">
        <w:rPr>
          <w:lang w:val="en-GB"/>
        </w:rPr>
        <w:t xml:space="preserve"> sinus; a</w:t>
      </w:r>
      <w:r>
        <w:rPr>
          <w:lang w:val="en-GB"/>
        </w:rPr>
        <w:t xml:space="preserve"> second fetus had anomalous drainage of the </w:t>
      </w:r>
      <w:r w:rsidR="00EF23D1">
        <w:rPr>
          <w:lang w:val="en-GB"/>
        </w:rPr>
        <w:t xml:space="preserve">IVC </w:t>
      </w:r>
      <w:r>
        <w:rPr>
          <w:lang w:val="en-GB"/>
        </w:rPr>
        <w:t xml:space="preserve"> to the left sided atrium</w:t>
      </w:r>
      <w:r w:rsidR="00E85107">
        <w:rPr>
          <w:lang w:val="en-GB"/>
        </w:rPr>
        <w:t>,</w:t>
      </w:r>
      <w:r>
        <w:rPr>
          <w:lang w:val="en-GB"/>
        </w:rPr>
        <w:t xml:space="preserve"> a left SVC draining to the coronary sinus and abnormal drainage of hepatic veins</w:t>
      </w:r>
      <w:r w:rsidR="00835925">
        <w:rPr>
          <w:lang w:val="en-GB"/>
        </w:rPr>
        <w:t xml:space="preserve">. </w:t>
      </w:r>
      <w:r w:rsidR="00464765">
        <w:rPr>
          <w:lang w:val="en-GB"/>
        </w:rPr>
        <w:t xml:space="preserve">The presence of a coronary sinus in these 2 cases indicated discordance </w:t>
      </w:r>
      <w:r w:rsidR="00464765">
        <w:rPr>
          <w:lang w:val="en-GB"/>
        </w:rPr>
        <w:lastRenderedPageBreak/>
        <w:t xml:space="preserve">between abdominal and thoracic situs. </w:t>
      </w:r>
      <w:r w:rsidR="00835925">
        <w:rPr>
          <w:lang w:val="en-GB"/>
        </w:rPr>
        <w:t xml:space="preserve">One case developed bowel obstruction postnatally secondary to </w:t>
      </w:r>
      <w:proofErr w:type="spellStart"/>
      <w:r w:rsidR="00835925">
        <w:rPr>
          <w:lang w:val="en-GB"/>
        </w:rPr>
        <w:t>malrotation</w:t>
      </w:r>
      <w:proofErr w:type="spellEnd"/>
      <w:r w:rsidR="00835925">
        <w:rPr>
          <w:lang w:val="en-GB"/>
        </w:rPr>
        <w:t xml:space="preserve">. </w:t>
      </w:r>
    </w:p>
    <w:p w14:paraId="796DD849" w14:textId="77777777" w:rsidR="00575438" w:rsidRDefault="00575438">
      <w:pPr>
        <w:rPr>
          <w:lang w:val="en-GB"/>
        </w:rPr>
      </w:pPr>
    </w:p>
    <w:p w14:paraId="060F6A26" w14:textId="77777777" w:rsidR="00575438" w:rsidRDefault="00575438">
      <w:pPr>
        <w:rPr>
          <w:lang w:val="en-GB"/>
        </w:rPr>
      </w:pPr>
      <w:r>
        <w:rPr>
          <w:lang w:val="en-GB"/>
        </w:rPr>
        <w:t>Conclusions</w:t>
      </w:r>
    </w:p>
    <w:p w14:paraId="1867F093" w14:textId="3B9619F3" w:rsidR="00001DE4" w:rsidRDefault="00C46E0A" w:rsidP="00001DE4">
      <w:pPr>
        <w:rPr>
          <w:lang w:val="en-GB"/>
        </w:rPr>
      </w:pPr>
      <w:r>
        <w:rPr>
          <w:lang w:val="en-GB"/>
        </w:rPr>
        <w:t>Abdominal R</w:t>
      </w:r>
      <w:r w:rsidR="00CE5B17">
        <w:rPr>
          <w:lang w:val="en-GB"/>
        </w:rPr>
        <w:t>I</w:t>
      </w:r>
      <w:r>
        <w:rPr>
          <w:lang w:val="en-GB"/>
        </w:rPr>
        <w:t xml:space="preserve"> can occur with normal </w:t>
      </w:r>
      <w:proofErr w:type="spellStart"/>
      <w:r>
        <w:rPr>
          <w:lang w:val="en-GB"/>
        </w:rPr>
        <w:t>intracardiac</w:t>
      </w:r>
      <w:proofErr w:type="spellEnd"/>
      <w:r>
        <w:rPr>
          <w:lang w:val="en-GB"/>
        </w:rPr>
        <w:t xml:space="preserve"> anatomy. </w:t>
      </w:r>
      <w:r w:rsidR="00464765">
        <w:rPr>
          <w:lang w:val="en-GB"/>
        </w:rPr>
        <w:t xml:space="preserve">This may be explained in some cases by discordance between abdominal and thoracic situs. </w:t>
      </w:r>
      <w:r>
        <w:rPr>
          <w:lang w:val="en-GB"/>
        </w:rPr>
        <w:t>D</w:t>
      </w:r>
      <w:r w:rsidR="00001DE4">
        <w:rPr>
          <w:lang w:val="en-GB"/>
        </w:rPr>
        <w:t>etailed sequential segmental analysis of the fetus is important</w:t>
      </w:r>
      <w:r w:rsidR="00835925">
        <w:rPr>
          <w:lang w:val="en-GB"/>
        </w:rPr>
        <w:t xml:space="preserve"> to </w:t>
      </w:r>
      <w:r w:rsidR="001C7A42">
        <w:rPr>
          <w:lang w:val="en-GB"/>
        </w:rPr>
        <w:t>identify</w:t>
      </w:r>
      <w:r w:rsidR="00001DE4">
        <w:rPr>
          <w:lang w:val="en-GB"/>
        </w:rPr>
        <w:t xml:space="preserve"> </w:t>
      </w:r>
      <w:r>
        <w:rPr>
          <w:lang w:val="en-GB"/>
        </w:rPr>
        <w:t xml:space="preserve">such </w:t>
      </w:r>
      <w:r w:rsidR="00C27599">
        <w:rPr>
          <w:lang w:val="en-GB"/>
        </w:rPr>
        <w:t xml:space="preserve">cases </w:t>
      </w:r>
      <w:r>
        <w:rPr>
          <w:lang w:val="en-GB"/>
        </w:rPr>
        <w:t xml:space="preserve">as </w:t>
      </w:r>
      <w:r w:rsidR="007B15FB">
        <w:rPr>
          <w:lang w:val="en-GB"/>
        </w:rPr>
        <w:t>these fetuse</w:t>
      </w:r>
      <w:r w:rsidR="00001DE4">
        <w:rPr>
          <w:lang w:val="en-GB"/>
        </w:rPr>
        <w:t xml:space="preserve">s </w:t>
      </w:r>
      <w:r>
        <w:rPr>
          <w:lang w:val="en-GB"/>
        </w:rPr>
        <w:t xml:space="preserve">are </w:t>
      </w:r>
      <w:r w:rsidR="00001DE4">
        <w:rPr>
          <w:lang w:val="en-GB"/>
        </w:rPr>
        <w:t xml:space="preserve">at risk of the postnatal complications of isomerism such as </w:t>
      </w:r>
      <w:r>
        <w:rPr>
          <w:lang w:val="en-GB"/>
        </w:rPr>
        <w:t xml:space="preserve">gut </w:t>
      </w:r>
      <w:proofErr w:type="spellStart"/>
      <w:r w:rsidR="00AC02C9">
        <w:rPr>
          <w:lang w:val="en-GB"/>
        </w:rPr>
        <w:t>malrotation</w:t>
      </w:r>
      <w:proofErr w:type="spellEnd"/>
      <w:r w:rsidR="00AC02C9">
        <w:rPr>
          <w:lang w:val="en-GB"/>
        </w:rPr>
        <w:t xml:space="preserve">, </w:t>
      </w:r>
      <w:bookmarkStart w:id="0" w:name="_GoBack"/>
      <w:bookmarkEnd w:id="0"/>
      <w:r w:rsidR="00001DE4">
        <w:rPr>
          <w:lang w:val="en-GB"/>
        </w:rPr>
        <w:t xml:space="preserve">splenic abnormalities and </w:t>
      </w:r>
      <w:r>
        <w:rPr>
          <w:lang w:val="en-GB"/>
        </w:rPr>
        <w:t xml:space="preserve">primary ciliary </w:t>
      </w:r>
      <w:r w:rsidR="00160948">
        <w:rPr>
          <w:lang w:val="en-GB"/>
        </w:rPr>
        <w:t>dyskinesia</w:t>
      </w:r>
      <w:r>
        <w:rPr>
          <w:lang w:val="en-GB"/>
        </w:rPr>
        <w:t xml:space="preserve">. </w:t>
      </w:r>
    </w:p>
    <w:p w14:paraId="6684F6CA" w14:textId="77777777" w:rsidR="00001DE4" w:rsidRDefault="00001DE4" w:rsidP="00001DE4">
      <w:pPr>
        <w:rPr>
          <w:lang w:val="en-GB"/>
        </w:rPr>
      </w:pPr>
    </w:p>
    <w:p w14:paraId="15FC96DA" w14:textId="77777777" w:rsidR="00001DE4" w:rsidRPr="001C0738" w:rsidRDefault="00001DE4">
      <w:pPr>
        <w:rPr>
          <w:lang w:val="en-GB"/>
        </w:rPr>
      </w:pPr>
    </w:p>
    <w:sectPr w:rsidR="00001DE4" w:rsidRPr="001C0738" w:rsidSect="009905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38"/>
    <w:rsid w:val="00001DE4"/>
    <w:rsid w:val="00022E30"/>
    <w:rsid w:val="00041837"/>
    <w:rsid w:val="000718C2"/>
    <w:rsid w:val="000C015B"/>
    <w:rsid w:val="001140D6"/>
    <w:rsid w:val="00152B45"/>
    <w:rsid w:val="00160948"/>
    <w:rsid w:val="001C0738"/>
    <w:rsid w:val="001C7A42"/>
    <w:rsid w:val="00221B93"/>
    <w:rsid w:val="00222187"/>
    <w:rsid w:val="0026733A"/>
    <w:rsid w:val="003770C3"/>
    <w:rsid w:val="00382E65"/>
    <w:rsid w:val="003928F8"/>
    <w:rsid w:val="0045031C"/>
    <w:rsid w:val="00464765"/>
    <w:rsid w:val="004B5613"/>
    <w:rsid w:val="004D1156"/>
    <w:rsid w:val="004E2F97"/>
    <w:rsid w:val="00511879"/>
    <w:rsid w:val="00575438"/>
    <w:rsid w:val="00621BD2"/>
    <w:rsid w:val="0062502E"/>
    <w:rsid w:val="00693C51"/>
    <w:rsid w:val="006B086B"/>
    <w:rsid w:val="007B15FB"/>
    <w:rsid w:val="007E62CF"/>
    <w:rsid w:val="00835925"/>
    <w:rsid w:val="008506C4"/>
    <w:rsid w:val="00881A0B"/>
    <w:rsid w:val="008C42C1"/>
    <w:rsid w:val="00990590"/>
    <w:rsid w:val="00A254F2"/>
    <w:rsid w:val="00A55C3E"/>
    <w:rsid w:val="00A6585E"/>
    <w:rsid w:val="00AC02C9"/>
    <w:rsid w:val="00AD4D03"/>
    <w:rsid w:val="00AE122B"/>
    <w:rsid w:val="00AF5B5A"/>
    <w:rsid w:val="00B27BA0"/>
    <w:rsid w:val="00B303E0"/>
    <w:rsid w:val="00BC5B56"/>
    <w:rsid w:val="00BD787A"/>
    <w:rsid w:val="00C2529A"/>
    <w:rsid w:val="00C27599"/>
    <w:rsid w:val="00C46E0A"/>
    <w:rsid w:val="00C97606"/>
    <w:rsid w:val="00CE5B17"/>
    <w:rsid w:val="00D4433F"/>
    <w:rsid w:val="00DC00DF"/>
    <w:rsid w:val="00DE281B"/>
    <w:rsid w:val="00E85107"/>
    <w:rsid w:val="00EB0B11"/>
    <w:rsid w:val="00EF23D1"/>
    <w:rsid w:val="00F03F60"/>
    <w:rsid w:val="00FC62E5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6C7C0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8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1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20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0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0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8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1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20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0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0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Brompton Hospital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Jowett</dc:creator>
  <cp:keywords/>
  <dc:description/>
  <cp:lastModifiedBy>Julene Carvalho</cp:lastModifiedBy>
  <cp:revision>2</cp:revision>
  <dcterms:created xsi:type="dcterms:W3CDTF">2017-12-10T20:20:00Z</dcterms:created>
  <dcterms:modified xsi:type="dcterms:W3CDTF">2017-12-10T20:20:00Z</dcterms:modified>
</cp:coreProperties>
</file>